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5AD87" w14:textId="42F4C1A6" w:rsidR="00426C3E" w:rsidRDefault="00426C3E" w:rsidP="00426C3E">
      <w:pPr>
        <w:pStyle w:val="Title"/>
        <w:spacing w:before="480" w:after="240" w:line="240" w:lineRule="exact"/>
        <w:rPr>
          <w:sz w:val="28"/>
          <w:szCs w:val="28"/>
        </w:rPr>
      </w:pPr>
      <w:bookmarkStart w:id="0" w:name="_Toc117503060"/>
      <w:bookmarkStart w:id="1" w:name="_Toc149217158"/>
      <w:r>
        <w:rPr>
          <w:sz w:val="28"/>
          <w:szCs w:val="28"/>
        </w:rPr>
        <w:t>Draft Risk-Based Guidance on Beneficial Ownership and Transparency of Legal Arrangements (R.25)</w:t>
      </w:r>
      <w:bookmarkEnd w:id="0"/>
      <w:bookmarkEnd w:id="1"/>
    </w:p>
    <w:p w14:paraId="07EEDFE0" w14:textId="77777777" w:rsidR="00426C3E" w:rsidRDefault="00426C3E" w:rsidP="00426C3E">
      <w:pPr>
        <w:pStyle w:val="Caption"/>
        <w:jc w:val="center"/>
      </w:pPr>
      <w:r>
        <w:t>FOR PUBLIC CONSULTATION</w:t>
      </w:r>
    </w:p>
    <w:sdt>
      <w:sdtPr>
        <w:rPr>
          <w:rFonts w:asciiTheme="minorHAnsi" w:eastAsiaTheme="minorHAnsi" w:hAnsiTheme="minorHAnsi" w:cstheme="minorBidi"/>
          <w:b/>
          <w:i w:val="0"/>
          <w:noProof/>
          <w:color w:val="000000" w:themeColor="text1"/>
          <w:sz w:val="20"/>
          <w:szCs w:val="22"/>
          <w:lang w:val="en-US"/>
        </w:rPr>
        <w:id w:val="-85394019"/>
        <w:docPartObj>
          <w:docPartGallery w:val="Table of Contents"/>
          <w:docPartUnique/>
        </w:docPartObj>
      </w:sdtPr>
      <w:sdtEndPr>
        <w:rPr>
          <w:rFonts w:ascii="Times New Roman" w:eastAsia="SimSun" w:hAnsi="Times New Roman" w:cs="Times New Roman"/>
          <w:b w:val="0"/>
          <w:bCs/>
          <w:color w:val="auto"/>
          <w:sz w:val="22"/>
        </w:rPr>
      </w:sdtEndPr>
      <w:sdtContent>
        <w:p w14:paraId="77311E6D" w14:textId="77777777" w:rsidR="004F470D" w:rsidRPr="003B7B31" w:rsidRDefault="004F470D" w:rsidP="0060042C">
          <w:pPr>
            <w:pStyle w:val="TOCHeading"/>
            <w:rPr>
              <w:noProof/>
              <w:lang w:val="en-US"/>
            </w:rPr>
          </w:pPr>
          <w:r w:rsidRPr="003B7B31">
            <w:rPr>
              <w:noProof/>
              <w:lang w:val="en-US"/>
            </w:rPr>
            <w:t>Table of contents</w:t>
          </w:r>
        </w:p>
        <w:p w14:paraId="0DCA9C47" w14:textId="18A443CB" w:rsidR="00426C3E" w:rsidRDefault="004F470D">
          <w:pPr>
            <w:pStyle w:val="TOC1"/>
            <w:rPr>
              <w:rFonts w:asciiTheme="minorHAnsi" w:eastAsiaTheme="minorEastAsia" w:hAnsiTheme="minorHAnsi" w:cstheme="minorBidi"/>
              <w:b w:val="0"/>
              <w:sz w:val="22"/>
              <w:lang w:val="en-US"/>
            </w:rPr>
          </w:pPr>
          <w:r w:rsidRPr="003B7B31">
            <w:rPr>
              <w:b w:val="0"/>
              <w:lang w:val="en-US"/>
            </w:rPr>
            <w:fldChar w:fldCharType="begin"/>
          </w:r>
          <w:r w:rsidRPr="003B7B31">
            <w:rPr>
              <w:lang w:val="en-US"/>
            </w:rPr>
            <w:instrText xml:space="preserve"> TOC \o "1-1" \h \z \t "Heading 2,2,Heading 6,9,Heading 7,1,Heading 9,2,InBrief Opener,2,Heading 2 (Indicator),2" </w:instrText>
          </w:r>
          <w:r w:rsidRPr="003B7B31">
            <w:rPr>
              <w:b w:val="0"/>
              <w:lang w:val="en-US"/>
            </w:rPr>
            <w:fldChar w:fldCharType="separate"/>
          </w:r>
          <w:hyperlink w:anchor="_Toc149217158" w:history="1">
            <w:r w:rsidR="00426C3E" w:rsidRPr="00A272BD">
              <w:rPr>
                <w:rStyle w:val="Hyperlink"/>
              </w:rPr>
              <w:t>Draft Risk-Based Guidance on Beneficial Ownership and Transparency of Legal Arrangements (R.25)</w:t>
            </w:r>
            <w:r w:rsidR="00426C3E">
              <w:rPr>
                <w:webHidden/>
              </w:rPr>
              <w:tab/>
            </w:r>
            <w:r w:rsidR="00426C3E">
              <w:rPr>
                <w:webHidden/>
              </w:rPr>
              <w:fldChar w:fldCharType="begin"/>
            </w:r>
            <w:r w:rsidR="00426C3E">
              <w:rPr>
                <w:webHidden/>
              </w:rPr>
              <w:instrText xml:space="preserve"> PAGEREF _Toc149217158 \h </w:instrText>
            </w:r>
            <w:r w:rsidR="00426C3E">
              <w:rPr>
                <w:webHidden/>
              </w:rPr>
            </w:r>
            <w:r w:rsidR="00426C3E">
              <w:rPr>
                <w:webHidden/>
              </w:rPr>
              <w:fldChar w:fldCharType="separate"/>
            </w:r>
            <w:r w:rsidR="00426C3E">
              <w:rPr>
                <w:webHidden/>
              </w:rPr>
              <w:t>2</w:t>
            </w:r>
            <w:r w:rsidR="00426C3E">
              <w:rPr>
                <w:webHidden/>
              </w:rPr>
              <w:fldChar w:fldCharType="end"/>
            </w:r>
          </w:hyperlink>
        </w:p>
        <w:p w14:paraId="30DA0405" w14:textId="7AF763D1" w:rsidR="00426C3E" w:rsidRDefault="006720B6">
          <w:pPr>
            <w:pStyle w:val="TOC1"/>
            <w:rPr>
              <w:rFonts w:asciiTheme="minorHAnsi" w:eastAsiaTheme="minorEastAsia" w:hAnsiTheme="minorHAnsi" w:cstheme="minorBidi"/>
              <w:b w:val="0"/>
              <w:sz w:val="22"/>
              <w:lang w:val="en-US"/>
            </w:rPr>
          </w:pPr>
          <w:hyperlink w:anchor="_Toc149217159" w:history="1">
            <w:r w:rsidR="00426C3E" w:rsidRPr="00A272BD">
              <w:rPr>
                <w:rStyle w:val="Hyperlink"/>
              </w:rPr>
              <w:t>1. Introduction</w:t>
            </w:r>
            <w:r w:rsidR="00426C3E">
              <w:rPr>
                <w:webHidden/>
              </w:rPr>
              <w:tab/>
            </w:r>
            <w:r w:rsidR="00426C3E">
              <w:rPr>
                <w:webHidden/>
              </w:rPr>
              <w:fldChar w:fldCharType="begin"/>
            </w:r>
            <w:r w:rsidR="00426C3E">
              <w:rPr>
                <w:webHidden/>
              </w:rPr>
              <w:instrText xml:space="preserve"> PAGEREF _Toc149217159 \h </w:instrText>
            </w:r>
            <w:r w:rsidR="00426C3E">
              <w:rPr>
                <w:webHidden/>
              </w:rPr>
            </w:r>
            <w:r w:rsidR="00426C3E">
              <w:rPr>
                <w:webHidden/>
              </w:rPr>
              <w:fldChar w:fldCharType="separate"/>
            </w:r>
            <w:r w:rsidR="00426C3E">
              <w:rPr>
                <w:webHidden/>
              </w:rPr>
              <w:t>3</w:t>
            </w:r>
            <w:r w:rsidR="00426C3E">
              <w:rPr>
                <w:webHidden/>
              </w:rPr>
              <w:fldChar w:fldCharType="end"/>
            </w:r>
          </w:hyperlink>
        </w:p>
        <w:p w14:paraId="36D8FE72" w14:textId="1AB413DC" w:rsidR="00426C3E" w:rsidRDefault="006720B6">
          <w:pPr>
            <w:pStyle w:val="TOC1"/>
            <w:rPr>
              <w:rFonts w:asciiTheme="minorHAnsi" w:eastAsiaTheme="minorEastAsia" w:hAnsiTheme="minorHAnsi" w:cstheme="minorBidi"/>
              <w:b w:val="0"/>
              <w:sz w:val="22"/>
              <w:lang w:val="en-US"/>
            </w:rPr>
          </w:pPr>
          <w:hyperlink w:anchor="_Toc149217160" w:history="1">
            <w:r w:rsidR="00426C3E" w:rsidRPr="00A272BD">
              <w:rPr>
                <w:rStyle w:val="Hyperlink"/>
              </w:rPr>
              <w:t>2. Scope of R.25: Trusts and other similar legal arrangements</w:t>
            </w:r>
            <w:r w:rsidR="00426C3E">
              <w:rPr>
                <w:webHidden/>
              </w:rPr>
              <w:tab/>
            </w:r>
            <w:r w:rsidR="00426C3E">
              <w:rPr>
                <w:webHidden/>
              </w:rPr>
              <w:fldChar w:fldCharType="begin"/>
            </w:r>
            <w:r w:rsidR="00426C3E">
              <w:rPr>
                <w:webHidden/>
              </w:rPr>
              <w:instrText xml:space="preserve"> PAGEREF _Toc149217160 \h </w:instrText>
            </w:r>
            <w:r w:rsidR="00426C3E">
              <w:rPr>
                <w:webHidden/>
              </w:rPr>
            </w:r>
            <w:r w:rsidR="00426C3E">
              <w:rPr>
                <w:webHidden/>
              </w:rPr>
              <w:fldChar w:fldCharType="separate"/>
            </w:r>
            <w:r w:rsidR="00426C3E">
              <w:rPr>
                <w:webHidden/>
              </w:rPr>
              <w:t>3</w:t>
            </w:r>
            <w:r w:rsidR="00426C3E">
              <w:rPr>
                <w:webHidden/>
              </w:rPr>
              <w:fldChar w:fldCharType="end"/>
            </w:r>
          </w:hyperlink>
        </w:p>
        <w:p w14:paraId="3DA631F5" w14:textId="5ADAC991" w:rsidR="00426C3E" w:rsidRDefault="006720B6">
          <w:pPr>
            <w:pStyle w:val="TOC2"/>
            <w:rPr>
              <w:rFonts w:asciiTheme="minorHAnsi" w:eastAsiaTheme="minorEastAsia" w:hAnsiTheme="minorHAnsi" w:cstheme="minorBidi"/>
              <w:sz w:val="22"/>
              <w:lang w:val="en-US"/>
            </w:rPr>
          </w:pPr>
          <w:hyperlink w:anchor="_Toc149217161" w:history="1">
            <w:r w:rsidR="00426C3E" w:rsidRPr="00A272BD">
              <w:rPr>
                <w:rStyle w:val="Hyperlink"/>
                <w:lang w:val="en-US"/>
              </w:rPr>
              <w:t>2.1.</w:t>
            </w:r>
            <w:r w:rsidR="00426C3E" w:rsidRPr="00A272BD">
              <w:rPr>
                <w:rStyle w:val="Hyperlink"/>
              </w:rPr>
              <w:t xml:space="preserve"> Express</w:t>
            </w:r>
            <w:r w:rsidR="00426C3E" w:rsidRPr="00A272BD">
              <w:rPr>
                <w:rStyle w:val="Hyperlink"/>
                <w:lang w:val="en-US"/>
              </w:rPr>
              <w:t xml:space="preserve"> Trusts</w:t>
            </w:r>
            <w:r w:rsidR="00426C3E">
              <w:rPr>
                <w:webHidden/>
              </w:rPr>
              <w:tab/>
            </w:r>
            <w:r w:rsidR="00426C3E">
              <w:rPr>
                <w:webHidden/>
              </w:rPr>
              <w:fldChar w:fldCharType="begin"/>
            </w:r>
            <w:r w:rsidR="00426C3E">
              <w:rPr>
                <w:webHidden/>
              </w:rPr>
              <w:instrText xml:space="preserve"> PAGEREF _Toc149217161 \h </w:instrText>
            </w:r>
            <w:r w:rsidR="00426C3E">
              <w:rPr>
                <w:webHidden/>
              </w:rPr>
            </w:r>
            <w:r w:rsidR="00426C3E">
              <w:rPr>
                <w:webHidden/>
              </w:rPr>
              <w:fldChar w:fldCharType="separate"/>
            </w:r>
            <w:r w:rsidR="00426C3E">
              <w:rPr>
                <w:webHidden/>
              </w:rPr>
              <w:t>4</w:t>
            </w:r>
            <w:r w:rsidR="00426C3E">
              <w:rPr>
                <w:webHidden/>
              </w:rPr>
              <w:fldChar w:fldCharType="end"/>
            </w:r>
          </w:hyperlink>
        </w:p>
        <w:p w14:paraId="2BD755FA" w14:textId="6E4D922C" w:rsidR="00426C3E" w:rsidRDefault="006720B6">
          <w:pPr>
            <w:pStyle w:val="TOC2"/>
            <w:rPr>
              <w:rFonts w:asciiTheme="minorHAnsi" w:eastAsiaTheme="minorEastAsia" w:hAnsiTheme="minorHAnsi" w:cstheme="minorBidi"/>
              <w:sz w:val="22"/>
              <w:lang w:val="en-US"/>
            </w:rPr>
          </w:pPr>
          <w:hyperlink w:anchor="_Toc149217162" w:history="1">
            <w:r w:rsidR="00426C3E" w:rsidRPr="00A272BD">
              <w:rPr>
                <w:rStyle w:val="Hyperlink"/>
              </w:rPr>
              <w:t>2.2. Identifying legal arrangements similar to express trusts</w:t>
            </w:r>
            <w:r w:rsidR="00426C3E">
              <w:rPr>
                <w:webHidden/>
              </w:rPr>
              <w:tab/>
            </w:r>
            <w:r w:rsidR="00426C3E">
              <w:rPr>
                <w:webHidden/>
              </w:rPr>
              <w:fldChar w:fldCharType="begin"/>
            </w:r>
            <w:r w:rsidR="00426C3E">
              <w:rPr>
                <w:webHidden/>
              </w:rPr>
              <w:instrText xml:space="preserve"> PAGEREF _Toc149217162 \h </w:instrText>
            </w:r>
            <w:r w:rsidR="00426C3E">
              <w:rPr>
                <w:webHidden/>
              </w:rPr>
            </w:r>
            <w:r w:rsidR="00426C3E">
              <w:rPr>
                <w:webHidden/>
              </w:rPr>
              <w:fldChar w:fldCharType="separate"/>
            </w:r>
            <w:r w:rsidR="00426C3E">
              <w:rPr>
                <w:webHidden/>
              </w:rPr>
              <w:t>5</w:t>
            </w:r>
            <w:r w:rsidR="00426C3E">
              <w:rPr>
                <w:webHidden/>
              </w:rPr>
              <w:fldChar w:fldCharType="end"/>
            </w:r>
          </w:hyperlink>
        </w:p>
        <w:p w14:paraId="7F0A26B7" w14:textId="23BF47DD" w:rsidR="00426C3E" w:rsidRDefault="006720B6">
          <w:pPr>
            <w:pStyle w:val="TOC2"/>
            <w:rPr>
              <w:rFonts w:asciiTheme="minorHAnsi" w:eastAsiaTheme="minorEastAsia" w:hAnsiTheme="minorHAnsi" w:cstheme="minorBidi"/>
              <w:sz w:val="22"/>
              <w:lang w:val="en-US"/>
            </w:rPr>
          </w:pPr>
          <w:hyperlink w:anchor="_Toc149217163" w:history="1">
            <w:r w:rsidR="00426C3E" w:rsidRPr="00A272BD">
              <w:rPr>
                <w:rStyle w:val="Hyperlink"/>
              </w:rPr>
              <w:t>2.3. Parties to a trust</w:t>
            </w:r>
            <w:r w:rsidR="00426C3E">
              <w:rPr>
                <w:webHidden/>
              </w:rPr>
              <w:tab/>
            </w:r>
            <w:r w:rsidR="00426C3E">
              <w:rPr>
                <w:webHidden/>
              </w:rPr>
              <w:fldChar w:fldCharType="begin"/>
            </w:r>
            <w:r w:rsidR="00426C3E">
              <w:rPr>
                <w:webHidden/>
              </w:rPr>
              <w:instrText xml:space="preserve"> PAGEREF _Toc149217163 \h </w:instrText>
            </w:r>
            <w:r w:rsidR="00426C3E">
              <w:rPr>
                <w:webHidden/>
              </w:rPr>
            </w:r>
            <w:r w:rsidR="00426C3E">
              <w:rPr>
                <w:webHidden/>
              </w:rPr>
              <w:fldChar w:fldCharType="separate"/>
            </w:r>
            <w:r w:rsidR="00426C3E">
              <w:rPr>
                <w:webHidden/>
              </w:rPr>
              <w:t>7</w:t>
            </w:r>
            <w:r w:rsidR="00426C3E">
              <w:rPr>
                <w:webHidden/>
              </w:rPr>
              <w:fldChar w:fldCharType="end"/>
            </w:r>
          </w:hyperlink>
        </w:p>
        <w:p w14:paraId="437C44F3" w14:textId="0CFDED85" w:rsidR="00426C3E" w:rsidRDefault="006720B6">
          <w:pPr>
            <w:pStyle w:val="TOC1"/>
            <w:rPr>
              <w:rFonts w:asciiTheme="minorHAnsi" w:eastAsiaTheme="minorEastAsia" w:hAnsiTheme="minorHAnsi" w:cstheme="minorBidi"/>
              <w:b w:val="0"/>
              <w:sz w:val="22"/>
              <w:lang w:val="en-US"/>
            </w:rPr>
          </w:pPr>
          <w:hyperlink w:anchor="_Toc149217164" w:history="1">
            <w:r w:rsidR="00426C3E" w:rsidRPr="00A272BD">
              <w:rPr>
                <w:rStyle w:val="Hyperlink"/>
              </w:rPr>
              <w:t>3. Understanding and assessing the risks associated with trusts and similar legal arrangements</w:t>
            </w:r>
            <w:r w:rsidR="00426C3E">
              <w:rPr>
                <w:webHidden/>
              </w:rPr>
              <w:tab/>
            </w:r>
            <w:r w:rsidR="00426C3E">
              <w:rPr>
                <w:webHidden/>
              </w:rPr>
              <w:fldChar w:fldCharType="begin"/>
            </w:r>
            <w:r w:rsidR="00426C3E">
              <w:rPr>
                <w:webHidden/>
              </w:rPr>
              <w:instrText xml:space="preserve"> PAGEREF _Toc149217164 \h </w:instrText>
            </w:r>
            <w:r w:rsidR="00426C3E">
              <w:rPr>
                <w:webHidden/>
              </w:rPr>
            </w:r>
            <w:r w:rsidR="00426C3E">
              <w:rPr>
                <w:webHidden/>
              </w:rPr>
              <w:fldChar w:fldCharType="separate"/>
            </w:r>
            <w:r w:rsidR="00426C3E">
              <w:rPr>
                <w:webHidden/>
              </w:rPr>
              <w:t>12</w:t>
            </w:r>
            <w:r w:rsidR="00426C3E">
              <w:rPr>
                <w:webHidden/>
              </w:rPr>
              <w:fldChar w:fldCharType="end"/>
            </w:r>
          </w:hyperlink>
        </w:p>
        <w:p w14:paraId="116DEB88" w14:textId="4BE7D38E" w:rsidR="00426C3E" w:rsidRDefault="006720B6">
          <w:pPr>
            <w:pStyle w:val="TOC2"/>
            <w:rPr>
              <w:rFonts w:asciiTheme="minorHAnsi" w:eastAsiaTheme="minorEastAsia" w:hAnsiTheme="minorHAnsi" w:cstheme="minorBidi"/>
              <w:sz w:val="22"/>
              <w:lang w:val="en-US"/>
            </w:rPr>
          </w:pPr>
          <w:hyperlink w:anchor="_Toc149217165" w:history="1">
            <w:r w:rsidR="00426C3E" w:rsidRPr="00A272BD">
              <w:rPr>
                <w:rStyle w:val="Hyperlink"/>
              </w:rPr>
              <w:t>3.1. Private nature of the arrangement</w:t>
            </w:r>
            <w:r w:rsidR="00426C3E">
              <w:rPr>
                <w:webHidden/>
              </w:rPr>
              <w:tab/>
            </w:r>
            <w:r w:rsidR="00426C3E">
              <w:rPr>
                <w:webHidden/>
              </w:rPr>
              <w:fldChar w:fldCharType="begin"/>
            </w:r>
            <w:r w:rsidR="00426C3E">
              <w:rPr>
                <w:webHidden/>
              </w:rPr>
              <w:instrText xml:space="preserve"> PAGEREF _Toc149217165 \h </w:instrText>
            </w:r>
            <w:r w:rsidR="00426C3E">
              <w:rPr>
                <w:webHidden/>
              </w:rPr>
            </w:r>
            <w:r w:rsidR="00426C3E">
              <w:rPr>
                <w:webHidden/>
              </w:rPr>
              <w:fldChar w:fldCharType="separate"/>
            </w:r>
            <w:r w:rsidR="00426C3E">
              <w:rPr>
                <w:webHidden/>
              </w:rPr>
              <w:t>12</w:t>
            </w:r>
            <w:r w:rsidR="00426C3E">
              <w:rPr>
                <w:webHidden/>
              </w:rPr>
              <w:fldChar w:fldCharType="end"/>
            </w:r>
          </w:hyperlink>
        </w:p>
        <w:p w14:paraId="40F17E4C" w14:textId="36A77314" w:rsidR="00426C3E" w:rsidRDefault="006720B6">
          <w:pPr>
            <w:pStyle w:val="TOC2"/>
            <w:rPr>
              <w:rFonts w:asciiTheme="minorHAnsi" w:eastAsiaTheme="minorEastAsia" w:hAnsiTheme="minorHAnsi" w:cstheme="minorBidi"/>
              <w:sz w:val="22"/>
              <w:lang w:val="en-US"/>
            </w:rPr>
          </w:pPr>
          <w:hyperlink w:anchor="_Toc149217166" w:history="1">
            <w:r w:rsidR="00426C3E" w:rsidRPr="00A272BD">
              <w:rPr>
                <w:rStyle w:val="Hyperlink"/>
                <w:lang w:val="en-US"/>
              </w:rPr>
              <w:t xml:space="preserve">3.2. Risk assessment of legal arrangements governed </w:t>
            </w:r>
            <w:r w:rsidR="00426C3E" w:rsidRPr="00A272BD">
              <w:rPr>
                <w:rStyle w:val="Hyperlink"/>
              </w:rPr>
              <w:t>under</w:t>
            </w:r>
            <w:r w:rsidR="00426C3E" w:rsidRPr="00A272BD">
              <w:rPr>
                <w:rStyle w:val="Hyperlink"/>
                <w:lang w:val="en-US"/>
              </w:rPr>
              <w:t xml:space="preserve"> the law of a country</w:t>
            </w:r>
            <w:r w:rsidR="00426C3E">
              <w:rPr>
                <w:webHidden/>
              </w:rPr>
              <w:tab/>
            </w:r>
            <w:r w:rsidR="00426C3E">
              <w:rPr>
                <w:webHidden/>
              </w:rPr>
              <w:fldChar w:fldCharType="begin"/>
            </w:r>
            <w:r w:rsidR="00426C3E">
              <w:rPr>
                <w:webHidden/>
              </w:rPr>
              <w:instrText xml:space="preserve"> PAGEREF _Toc149217166 \h </w:instrText>
            </w:r>
            <w:r w:rsidR="00426C3E">
              <w:rPr>
                <w:webHidden/>
              </w:rPr>
            </w:r>
            <w:r w:rsidR="00426C3E">
              <w:rPr>
                <w:webHidden/>
              </w:rPr>
              <w:fldChar w:fldCharType="separate"/>
            </w:r>
            <w:r w:rsidR="00426C3E">
              <w:rPr>
                <w:webHidden/>
              </w:rPr>
              <w:t>15</w:t>
            </w:r>
            <w:r w:rsidR="00426C3E">
              <w:rPr>
                <w:webHidden/>
              </w:rPr>
              <w:fldChar w:fldCharType="end"/>
            </w:r>
          </w:hyperlink>
        </w:p>
        <w:p w14:paraId="0B8704CD" w14:textId="1DF099EF" w:rsidR="00426C3E" w:rsidRDefault="006720B6">
          <w:pPr>
            <w:pStyle w:val="TOC2"/>
            <w:rPr>
              <w:rFonts w:asciiTheme="minorHAnsi" w:eastAsiaTheme="minorEastAsia" w:hAnsiTheme="minorHAnsi" w:cstheme="minorBidi"/>
              <w:sz w:val="22"/>
              <w:lang w:val="en-US"/>
            </w:rPr>
          </w:pPr>
          <w:hyperlink w:anchor="_Toc149217167" w:history="1">
            <w:r w:rsidR="00426C3E" w:rsidRPr="00A272BD">
              <w:rPr>
                <w:rStyle w:val="Hyperlink"/>
                <w:lang w:val="en-US"/>
              </w:rPr>
              <w:t>3.3. Risk assessment of legal arrangements administered in the country or for which the trustee or equivalent resides in the country</w:t>
            </w:r>
            <w:r w:rsidR="00426C3E">
              <w:rPr>
                <w:webHidden/>
              </w:rPr>
              <w:tab/>
            </w:r>
            <w:r w:rsidR="00426C3E">
              <w:rPr>
                <w:webHidden/>
              </w:rPr>
              <w:fldChar w:fldCharType="begin"/>
            </w:r>
            <w:r w:rsidR="00426C3E">
              <w:rPr>
                <w:webHidden/>
              </w:rPr>
              <w:instrText xml:space="preserve"> PAGEREF _Toc149217167 \h </w:instrText>
            </w:r>
            <w:r w:rsidR="00426C3E">
              <w:rPr>
                <w:webHidden/>
              </w:rPr>
            </w:r>
            <w:r w:rsidR="00426C3E">
              <w:rPr>
                <w:webHidden/>
              </w:rPr>
              <w:fldChar w:fldCharType="separate"/>
            </w:r>
            <w:r w:rsidR="00426C3E">
              <w:rPr>
                <w:webHidden/>
              </w:rPr>
              <w:t>15</w:t>
            </w:r>
            <w:r w:rsidR="00426C3E">
              <w:rPr>
                <w:webHidden/>
              </w:rPr>
              <w:fldChar w:fldCharType="end"/>
            </w:r>
          </w:hyperlink>
        </w:p>
        <w:p w14:paraId="55CFE21F" w14:textId="7CBF8784" w:rsidR="00426C3E" w:rsidRDefault="006720B6">
          <w:pPr>
            <w:pStyle w:val="TOC2"/>
            <w:rPr>
              <w:rFonts w:asciiTheme="minorHAnsi" w:eastAsiaTheme="minorEastAsia" w:hAnsiTheme="minorHAnsi" w:cstheme="minorBidi"/>
              <w:sz w:val="22"/>
              <w:lang w:val="en-US"/>
            </w:rPr>
          </w:pPr>
          <w:hyperlink w:anchor="_Toc149217168" w:history="1">
            <w:r w:rsidR="00426C3E" w:rsidRPr="00A272BD">
              <w:rPr>
                <w:rStyle w:val="Hyperlink"/>
              </w:rPr>
              <w:t>3.4.</w:t>
            </w:r>
            <w:r w:rsidR="00426C3E" w:rsidRPr="00A272BD">
              <w:rPr>
                <w:rStyle w:val="Hyperlink"/>
                <w:lang w:val="en-US"/>
              </w:rPr>
              <w:t xml:space="preserve"> Risk assessment of foreign legal </w:t>
            </w:r>
            <w:r w:rsidR="00426C3E" w:rsidRPr="00A272BD">
              <w:rPr>
                <w:rStyle w:val="Hyperlink"/>
              </w:rPr>
              <w:t>arrangements</w:t>
            </w:r>
            <w:r w:rsidR="00426C3E" w:rsidRPr="00A272BD">
              <w:rPr>
                <w:rStyle w:val="Hyperlink"/>
                <w:lang w:val="en-US"/>
              </w:rPr>
              <w:t xml:space="preserve"> having sufficient links with the country</w:t>
            </w:r>
            <w:r w:rsidR="00426C3E">
              <w:rPr>
                <w:webHidden/>
              </w:rPr>
              <w:tab/>
            </w:r>
            <w:r w:rsidR="00426C3E">
              <w:rPr>
                <w:webHidden/>
              </w:rPr>
              <w:fldChar w:fldCharType="begin"/>
            </w:r>
            <w:r w:rsidR="00426C3E">
              <w:rPr>
                <w:webHidden/>
              </w:rPr>
              <w:instrText xml:space="preserve"> PAGEREF _Toc149217168 \h </w:instrText>
            </w:r>
            <w:r w:rsidR="00426C3E">
              <w:rPr>
                <w:webHidden/>
              </w:rPr>
            </w:r>
            <w:r w:rsidR="00426C3E">
              <w:rPr>
                <w:webHidden/>
              </w:rPr>
              <w:fldChar w:fldCharType="separate"/>
            </w:r>
            <w:r w:rsidR="00426C3E">
              <w:rPr>
                <w:webHidden/>
              </w:rPr>
              <w:t>16</w:t>
            </w:r>
            <w:r w:rsidR="00426C3E">
              <w:rPr>
                <w:webHidden/>
              </w:rPr>
              <w:fldChar w:fldCharType="end"/>
            </w:r>
          </w:hyperlink>
        </w:p>
        <w:p w14:paraId="23229B33" w14:textId="64BA82A8" w:rsidR="00426C3E" w:rsidRDefault="006720B6">
          <w:pPr>
            <w:pStyle w:val="TOC2"/>
            <w:rPr>
              <w:rFonts w:asciiTheme="minorHAnsi" w:eastAsiaTheme="minorEastAsia" w:hAnsiTheme="minorHAnsi" w:cstheme="minorBidi"/>
              <w:sz w:val="22"/>
              <w:lang w:val="en-US"/>
            </w:rPr>
          </w:pPr>
          <w:hyperlink w:anchor="_Toc149217169" w:history="1">
            <w:r w:rsidR="00426C3E" w:rsidRPr="00A272BD">
              <w:rPr>
                <w:rStyle w:val="Hyperlink"/>
                <w:lang w:val="en-US"/>
              </w:rPr>
              <w:t>3.5.</w:t>
            </w:r>
            <w:r w:rsidR="00426C3E" w:rsidRPr="00A272BD">
              <w:rPr>
                <w:rStyle w:val="Hyperlink"/>
              </w:rPr>
              <w:t xml:space="preserve"> Mechanisms for preventing and mitigating risk</w:t>
            </w:r>
            <w:r w:rsidR="00426C3E">
              <w:rPr>
                <w:webHidden/>
              </w:rPr>
              <w:tab/>
            </w:r>
            <w:r w:rsidR="00426C3E">
              <w:rPr>
                <w:webHidden/>
              </w:rPr>
              <w:fldChar w:fldCharType="begin"/>
            </w:r>
            <w:r w:rsidR="00426C3E">
              <w:rPr>
                <w:webHidden/>
              </w:rPr>
              <w:instrText xml:space="preserve"> PAGEREF _Toc149217169 \h </w:instrText>
            </w:r>
            <w:r w:rsidR="00426C3E">
              <w:rPr>
                <w:webHidden/>
              </w:rPr>
            </w:r>
            <w:r w:rsidR="00426C3E">
              <w:rPr>
                <w:webHidden/>
              </w:rPr>
              <w:fldChar w:fldCharType="separate"/>
            </w:r>
            <w:r w:rsidR="00426C3E">
              <w:rPr>
                <w:webHidden/>
              </w:rPr>
              <w:t>17</w:t>
            </w:r>
            <w:r w:rsidR="00426C3E">
              <w:rPr>
                <w:webHidden/>
              </w:rPr>
              <w:fldChar w:fldCharType="end"/>
            </w:r>
          </w:hyperlink>
        </w:p>
        <w:p w14:paraId="01A8C880" w14:textId="66E1736D" w:rsidR="00426C3E" w:rsidRDefault="006720B6">
          <w:pPr>
            <w:pStyle w:val="TOC1"/>
            <w:rPr>
              <w:rFonts w:asciiTheme="minorHAnsi" w:eastAsiaTheme="minorEastAsia" w:hAnsiTheme="minorHAnsi" w:cstheme="minorBidi"/>
              <w:b w:val="0"/>
              <w:sz w:val="22"/>
              <w:lang w:val="en-US"/>
            </w:rPr>
          </w:pPr>
          <w:hyperlink w:anchor="_Toc149217170" w:history="1">
            <w:r w:rsidR="00426C3E" w:rsidRPr="00A272BD">
              <w:rPr>
                <w:rStyle w:val="Hyperlink"/>
                <w:lang w:val="en-US"/>
              </w:rPr>
              <w:t>4.</w:t>
            </w:r>
            <w:r w:rsidR="00426C3E" w:rsidRPr="00A272BD">
              <w:rPr>
                <w:rStyle w:val="Hyperlink"/>
              </w:rPr>
              <w:t xml:space="preserve"> Adequate, Accurate and up-to-date information</w:t>
            </w:r>
            <w:r w:rsidR="00426C3E">
              <w:rPr>
                <w:webHidden/>
              </w:rPr>
              <w:tab/>
            </w:r>
            <w:r w:rsidR="00426C3E">
              <w:rPr>
                <w:webHidden/>
              </w:rPr>
              <w:fldChar w:fldCharType="begin"/>
            </w:r>
            <w:r w:rsidR="00426C3E">
              <w:rPr>
                <w:webHidden/>
              </w:rPr>
              <w:instrText xml:space="preserve"> PAGEREF _Toc149217170 \h </w:instrText>
            </w:r>
            <w:r w:rsidR="00426C3E">
              <w:rPr>
                <w:webHidden/>
              </w:rPr>
            </w:r>
            <w:r w:rsidR="00426C3E">
              <w:rPr>
                <w:webHidden/>
              </w:rPr>
              <w:fldChar w:fldCharType="separate"/>
            </w:r>
            <w:r w:rsidR="00426C3E">
              <w:rPr>
                <w:webHidden/>
              </w:rPr>
              <w:t>18</w:t>
            </w:r>
            <w:r w:rsidR="00426C3E">
              <w:rPr>
                <w:webHidden/>
              </w:rPr>
              <w:fldChar w:fldCharType="end"/>
            </w:r>
          </w:hyperlink>
        </w:p>
        <w:p w14:paraId="4320893A" w14:textId="53C0A8A3" w:rsidR="00426C3E" w:rsidRDefault="006720B6">
          <w:pPr>
            <w:pStyle w:val="TOC2"/>
            <w:rPr>
              <w:rFonts w:asciiTheme="minorHAnsi" w:eastAsiaTheme="minorEastAsia" w:hAnsiTheme="minorHAnsi" w:cstheme="minorBidi"/>
              <w:sz w:val="22"/>
              <w:lang w:val="en-US"/>
            </w:rPr>
          </w:pPr>
          <w:hyperlink w:anchor="_Toc149217171" w:history="1">
            <w:r w:rsidR="00426C3E" w:rsidRPr="00A272BD">
              <w:rPr>
                <w:rStyle w:val="Hyperlink"/>
                <w:rFonts w:eastAsia="Calibri"/>
                <w:lang w:eastAsia="it-IT"/>
              </w:rPr>
              <w:t>4.1. Basic Information</w:t>
            </w:r>
            <w:r w:rsidR="00426C3E">
              <w:rPr>
                <w:webHidden/>
              </w:rPr>
              <w:tab/>
            </w:r>
            <w:r w:rsidR="00426C3E">
              <w:rPr>
                <w:webHidden/>
              </w:rPr>
              <w:fldChar w:fldCharType="begin"/>
            </w:r>
            <w:r w:rsidR="00426C3E">
              <w:rPr>
                <w:webHidden/>
              </w:rPr>
              <w:instrText xml:space="preserve"> PAGEREF _Toc149217171 \h </w:instrText>
            </w:r>
            <w:r w:rsidR="00426C3E">
              <w:rPr>
                <w:webHidden/>
              </w:rPr>
            </w:r>
            <w:r w:rsidR="00426C3E">
              <w:rPr>
                <w:webHidden/>
              </w:rPr>
              <w:fldChar w:fldCharType="separate"/>
            </w:r>
            <w:r w:rsidR="00426C3E">
              <w:rPr>
                <w:webHidden/>
              </w:rPr>
              <w:t>18</w:t>
            </w:r>
            <w:r w:rsidR="00426C3E">
              <w:rPr>
                <w:webHidden/>
              </w:rPr>
              <w:fldChar w:fldCharType="end"/>
            </w:r>
          </w:hyperlink>
        </w:p>
        <w:p w14:paraId="523D4EC9" w14:textId="5875067A" w:rsidR="00426C3E" w:rsidRDefault="006720B6">
          <w:pPr>
            <w:pStyle w:val="TOC2"/>
            <w:rPr>
              <w:rFonts w:asciiTheme="minorHAnsi" w:eastAsiaTheme="minorEastAsia" w:hAnsiTheme="minorHAnsi" w:cstheme="minorBidi"/>
              <w:sz w:val="22"/>
              <w:lang w:val="en-US"/>
            </w:rPr>
          </w:pPr>
          <w:hyperlink w:anchor="_Toc149217172" w:history="1">
            <w:r w:rsidR="00426C3E" w:rsidRPr="00A272BD">
              <w:rPr>
                <w:rStyle w:val="Hyperlink"/>
                <w:rFonts w:eastAsia="Calibri"/>
                <w:lang w:eastAsia="it-IT"/>
              </w:rPr>
              <w:t>4.2. Adequate Beneficial Ownership Information</w:t>
            </w:r>
            <w:r w:rsidR="00426C3E">
              <w:rPr>
                <w:webHidden/>
              </w:rPr>
              <w:tab/>
            </w:r>
            <w:r w:rsidR="00426C3E">
              <w:rPr>
                <w:webHidden/>
              </w:rPr>
              <w:fldChar w:fldCharType="begin"/>
            </w:r>
            <w:r w:rsidR="00426C3E">
              <w:rPr>
                <w:webHidden/>
              </w:rPr>
              <w:instrText xml:space="preserve"> PAGEREF _Toc149217172 \h </w:instrText>
            </w:r>
            <w:r w:rsidR="00426C3E">
              <w:rPr>
                <w:webHidden/>
              </w:rPr>
            </w:r>
            <w:r w:rsidR="00426C3E">
              <w:rPr>
                <w:webHidden/>
              </w:rPr>
              <w:fldChar w:fldCharType="separate"/>
            </w:r>
            <w:r w:rsidR="00426C3E">
              <w:rPr>
                <w:webHidden/>
              </w:rPr>
              <w:t>19</w:t>
            </w:r>
            <w:r w:rsidR="00426C3E">
              <w:rPr>
                <w:webHidden/>
              </w:rPr>
              <w:fldChar w:fldCharType="end"/>
            </w:r>
          </w:hyperlink>
        </w:p>
        <w:p w14:paraId="15045CB9" w14:textId="6B7E1B5F" w:rsidR="00426C3E" w:rsidRDefault="006720B6">
          <w:pPr>
            <w:pStyle w:val="TOC2"/>
            <w:rPr>
              <w:rFonts w:asciiTheme="minorHAnsi" w:eastAsiaTheme="minorEastAsia" w:hAnsiTheme="minorHAnsi" w:cstheme="minorBidi"/>
              <w:sz w:val="22"/>
              <w:lang w:val="en-US"/>
            </w:rPr>
          </w:pPr>
          <w:hyperlink w:anchor="_Toc149217173" w:history="1">
            <w:r w:rsidR="00426C3E" w:rsidRPr="00A272BD">
              <w:rPr>
                <w:rStyle w:val="Hyperlink"/>
              </w:rPr>
              <w:t xml:space="preserve">4.3. Accurate </w:t>
            </w:r>
            <w:r w:rsidR="00426C3E" w:rsidRPr="00A272BD">
              <w:rPr>
                <w:rStyle w:val="Hyperlink"/>
                <w:rFonts w:eastAsia="Calibri"/>
                <w:lang w:eastAsia="it-IT"/>
              </w:rPr>
              <w:t>Beneficial</w:t>
            </w:r>
            <w:r w:rsidR="00426C3E" w:rsidRPr="00A272BD">
              <w:rPr>
                <w:rStyle w:val="Hyperlink"/>
              </w:rPr>
              <w:t xml:space="preserve"> Ownership Information</w:t>
            </w:r>
            <w:r w:rsidR="00426C3E">
              <w:rPr>
                <w:webHidden/>
              </w:rPr>
              <w:tab/>
            </w:r>
            <w:r w:rsidR="00426C3E">
              <w:rPr>
                <w:webHidden/>
              </w:rPr>
              <w:fldChar w:fldCharType="begin"/>
            </w:r>
            <w:r w:rsidR="00426C3E">
              <w:rPr>
                <w:webHidden/>
              </w:rPr>
              <w:instrText xml:space="preserve"> PAGEREF _Toc149217173 \h </w:instrText>
            </w:r>
            <w:r w:rsidR="00426C3E">
              <w:rPr>
                <w:webHidden/>
              </w:rPr>
            </w:r>
            <w:r w:rsidR="00426C3E">
              <w:rPr>
                <w:webHidden/>
              </w:rPr>
              <w:fldChar w:fldCharType="separate"/>
            </w:r>
            <w:r w:rsidR="00426C3E">
              <w:rPr>
                <w:webHidden/>
              </w:rPr>
              <w:t>20</w:t>
            </w:r>
            <w:r w:rsidR="00426C3E">
              <w:rPr>
                <w:webHidden/>
              </w:rPr>
              <w:fldChar w:fldCharType="end"/>
            </w:r>
          </w:hyperlink>
        </w:p>
        <w:p w14:paraId="6365E7AB" w14:textId="1EC87834" w:rsidR="00426C3E" w:rsidRDefault="006720B6">
          <w:pPr>
            <w:pStyle w:val="TOC2"/>
            <w:rPr>
              <w:rFonts w:asciiTheme="minorHAnsi" w:eastAsiaTheme="minorEastAsia" w:hAnsiTheme="minorHAnsi" w:cstheme="minorBidi"/>
              <w:sz w:val="22"/>
              <w:lang w:val="en-US"/>
            </w:rPr>
          </w:pPr>
          <w:hyperlink w:anchor="_Toc149217174" w:history="1">
            <w:r w:rsidR="00426C3E" w:rsidRPr="00A272BD">
              <w:rPr>
                <w:rStyle w:val="Hyperlink"/>
              </w:rPr>
              <w:t>4.4. Up-to-date beneficial ownership information</w:t>
            </w:r>
            <w:r w:rsidR="00426C3E">
              <w:rPr>
                <w:webHidden/>
              </w:rPr>
              <w:tab/>
            </w:r>
            <w:r w:rsidR="00426C3E">
              <w:rPr>
                <w:webHidden/>
              </w:rPr>
              <w:fldChar w:fldCharType="begin"/>
            </w:r>
            <w:r w:rsidR="00426C3E">
              <w:rPr>
                <w:webHidden/>
              </w:rPr>
              <w:instrText xml:space="preserve"> PAGEREF _Toc149217174 \h </w:instrText>
            </w:r>
            <w:r w:rsidR="00426C3E">
              <w:rPr>
                <w:webHidden/>
              </w:rPr>
            </w:r>
            <w:r w:rsidR="00426C3E">
              <w:rPr>
                <w:webHidden/>
              </w:rPr>
              <w:fldChar w:fldCharType="separate"/>
            </w:r>
            <w:r w:rsidR="00426C3E">
              <w:rPr>
                <w:webHidden/>
              </w:rPr>
              <w:t>24</w:t>
            </w:r>
            <w:r w:rsidR="00426C3E">
              <w:rPr>
                <w:webHidden/>
              </w:rPr>
              <w:fldChar w:fldCharType="end"/>
            </w:r>
          </w:hyperlink>
        </w:p>
        <w:p w14:paraId="57756961" w14:textId="3121FB9B" w:rsidR="00426C3E" w:rsidRDefault="006720B6">
          <w:pPr>
            <w:pStyle w:val="TOC1"/>
            <w:rPr>
              <w:rFonts w:asciiTheme="minorHAnsi" w:eastAsiaTheme="minorEastAsia" w:hAnsiTheme="minorHAnsi" w:cstheme="minorBidi"/>
              <w:b w:val="0"/>
              <w:sz w:val="22"/>
              <w:lang w:val="en-US"/>
            </w:rPr>
          </w:pPr>
          <w:hyperlink w:anchor="_Toc149217175" w:history="1">
            <w:r w:rsidR="00426C3E" w:rsidRPr="00A272BD">
              <w:rPr>
                <w:rStyle w:val="Hyperlink"/>
                <w:lang w:val="en-US"/>
              </w:rPr>
              <w:t>5.</w:t>
            </w:r>
            <w:r w:rsidR="00426C3E" w:rsidRPr="00A272BD">
              <w:rPr>
                <w:rStyle w:val="Hyperlink"/>
              </w:rPr>
              <w:t xml:space="preserve"> Mechanisms and sources for obtaining beneficial ownership information</w:t>
            </w:r>
            <w:r w:rsidR="00426C3E">
              <w:rPr>
                <w:webHidden/>
              </w:rPr>
              <w:tab/>
            </w:r>
            <w:r w:rsidR="00426C3E">
              <w:rPr>
                <w:webHidden/>
              </w:rPr>
              <w:fldChar w:fldCharType="begin"/>
            </w:r>
            <w:r w:rsidR="00426C3E">
              <w:rPr>
                <w:webHidden/>
              </w:rPr>
              <w:instrText xml:space="preserve"> PAGEREF _Toc149217175 \h </w:instrText>
            </w:r>
            <w:r w:rsidR="00426C3E">
              <w:rPr>
                <w:webHidden/>
              </w:rPr>
            </w:r>
            <w:r w:rsidR="00426C3E">
              <w:rPr>
                <w:webHidden/>
              </w:rPr>
              <w:fldChar w:fldCharType="separate"/>
            </w:r>
            <w:r w:rsidR="00426C3E">
              <w:rPr>
                <w:webHidden/>
              </w:rPr>
              <w:t>25</w:t>
            </w:r>
            <w:r w:rsidR="00426C3E">
              <w:rPr>
                <w:webHidden/>
              </w:rPr>
              <w:fldChar w:fldCharType="end"/>
            </w:r>
          </w:hyperlink>
        </w:p>
        <w:p w14:paraId="4E589B69" w14:textId="3E45DB74" w:rsidR="00426C3E" w:rsidRDefault="006720B6">
          <w:pPr>
            <w:pStyle w:val="TOC2"/>
            <w:rPr>
              <w:rFonts w:asciiTheme="minorHAnsi" w:eastAsiaTheme="minorEastAsia" w:hAnsiTheme="minorHAnsi" w:cstheme="minorBidi"/>
              <w:sz w:val="22"/>
              <w:lang w:val="en-US"/>
            </w:rPr>
          </w:pPr>
          <w:hyperlink w:anchor="_Toc149217176" w:history="1">
            <w:r w:rsidR="00426C3E" w:rsidRPr="00A272BD">
              <w:rPr>
                <w:rStyle w:val="Hyperlink"/>
              </w:rPr>
              <w:t>5.1. Trustees</w:t>
            </w:r>
            <w:r w:rsidR="00426C3E">
              <w:rPr>
                <w:webHidden/>
              </w:rPr>
              <w:tab/>
            </w:r>
            <w:r w:rsidR="00426C3E">
              <w:rPr>
                <w:webHidden/>
              </w:rPr>
              <w:fldChar w:fldCharType="begin"/>
            </w:r>
            <w:r w:rsidR="00426C3E">
              <w:rPr>
                <w:webHidden/>
              </w:rPr>
              <w:instrText xml:space="preserve"> PAGEREF _Toc149217176 \h </w:instrText>
            </w:r>
            <w:r w:rsidR="00426C3E">
              <w:rPr>
                <w:webHidden/>
              </w:rPr>
            </w:r>
            <w:r w:rsidR="00426C3E">
              <w:rPr>
                <w:webHidden/>
              </w:rPr>
              <w:fldChar w:fldCharType="separate"/>
            </w:r>
            <w:r w:rsidR="00426C3E">
              <w:rPr>
                <w:webHidden/>
              </w:rPr>
              <w:t>26</w:t>
            </w:r>
            <w:r w:rsidR="00426C3E">
              <w:rPr>
                <w:webHidden/>
              </w:rPr>
              <w:fldChar w:fldCharType="end"/>
            </w:r>
          </w:hyperlink>
        </w:p>
        <w:p w14:paraId="384ED792" w14:textId="50AB3782" w:rsidR="00426C3E" w:rsidRDefault="006720B6">
          <w:pPr>
            <w:pStyle w:val="TOC2"/>
            <w:rPr>
              <w:rFonts w:asciiTheme="minorHAnsi" w:eastAsiaTheme="minorEastAsia" w:hAnsiTheme="minorHAnsi" w:cstheme="minorBidi"/>
              <w:sz w:val="22"/>
              <w:lang w:val="en-US"/>
            </w:rPr>
          </w:pPr>
          <w:hyperlink w:anchor="_Toc149217177" w:history="1">
            <w:r w:rsidR="00426C3E" w:rsidRPr="00A272BD">
              <w:rPr>
                <w:rStyle w:val="Hyperlink"/>
              </w:rPr>
              <w:t>5.2. The Registry Approach</w:t>
            </w:r>
            <w:r w:rsidR="00426C3E">
              <w:rPr>
                <w:webHidden/>
              </w:rPr>
              <w:tab/>
            </w:r>
            <w:r w:rsidR="00426C3E">
              <w:rPr>
                <w:webHidden/>
              </w:rPr>
              <w:fldChar w:fldCharType="begin"/>
            </w:r>
            <w:r w:rsidR="00426C3E">
              <w:rPr>
                <w:webHidden/>
              </w:rPr>
              <w:instrText xml:space="preserve"> PAGEREF _Toc149217177 \h </w:instrText>
            </w:r>
            <w:r w:rsidR="00426C3E">
              <w:rPr>
                <w:webHidden/>
              </w:rPr>
            </w:r>
            <w:r w:rsidR="00426C3E">
              <w:rPr>
                <w:webHidden/>
              </w:rPr>
              <w:fldChar w:fldCharType="separate"/>
            </w:r>
            <w:r w:rsidR="00426C3E">
              <w:rPr>
                <w:webHidden/>
              </w:rPr>
              <w:t>26</w:t>
            </w:r>
            <w:r w:rsidR="00426C3E">
              <w:rPr>
                <w:webHidden/>
              </w:rPr>
              <w:fldChar w:fldCharType="end"/>
            </w:r>
          </w:hyperlink>
        </w:p>
        <w:p w14:paraId="43B0E05E" w14:textId="0913B240" w:rsidR="00426C3E" w:rsidRDefault="006720B6">
          <w:pPr>
            <w:pStyle w:val="TOC2"/>
            <w:rPr>
              <w:rFonts w:asciiTheme="minorHAnsi" w:eastAsiaTheme="minorEastAsia" w:hAnsiTheme="minorHAnsi" w:cstheme="minorBidi"/>
              <w:sz w:val="22"/>
              <w:lang w:val="en-US"/>
            </w:rPr>
          </w:pPr>
          <w:hyperlink w:anchor="_Toc149217178" w:history="1">
            <w:r w:rsidR="00426C3E" w:rsidRPr="00A272BD">
              <w:rPr>
                <w:rStyle w:val="Hyperlink"/>
              </w:rPr>
              <w:t>5.3. Other competent authorities</w:t>
            </w:r>
            <w:r w:rsidR="00426C3E">
              <w:rPr>
                <w:webHidden/>
              </w:rPr>
              <w:tab/>
            </w:r>
            <w:r w:rsidR="00426C3E">
              <w:rPr>
                <w:webHidden/>
              </w:rPr>
              <w:fldChar w:fldCharType="begin"/>
            </w:r>
            <w:r w:rsidR="00426C3E">
              <w:rPr>
                <w:webHidden/>
              </w:rPr>
              <w:instrText xml:space="preserve"> PAGEREF _Toc149217178 \h </w:instrText>
            </w:r>
            <w:r w:rsidR="00426C3E">
              <w:rPr>
                <w:webHidden/>
              </w:rPr>
            </w:r>
            <w:r w:rsidR="00426C3E">
              <w:rPr>
                <w:webHidden/>
              </w:rPr>
              <w:fldChar w:fldCharType="separate"/>
            </w:r>
            <w:r w:rsidR="00426C3E">
              <w:rPr>
                <w:webHidden/>
              </w:rPr>
              <w:t>28</w:t>
            </w:r>
            <w:r w:rsidR="00426C3E">
              <w:rPr>
                <w:webHidden/>
              </w:rPr>
              <w:fldChar w:fldCharType="end"/>
            </w:r>
          </w:hyperlink>
        </w:p>
        <w:p w14:paraId="739C584D" w14:textId="380D6D0A" w:rsidR="00426C3E" w:rsidRDefault="006720B6">
          <w:pPr>
            <w:pStyle w:val="TOC2"/>
            <w:rPr>
              <w:rFonts w:asciiTheme="minorHAnsi" w:eastAsiaTheme="minorEastAsia" w:hAnsiTheme="minorHAnsi" w:cstheme="minorBidi"/>
              <w:sz w:val="22"/>
              <w:lang w:val="en-US"/>
            </w:rPr>
          </w:pPr>
          <w:hyperlink w:anchor="_Toc149217179" w:history="1">
            <w:r w:rsidR="00426C3E" w:rsidRPr="00A272BD">
              <w:rPr>
                <w:rStyle w:val="Hyperlink"/>
              </w:rPr>
              <w:t>5.4. Other agents or service providers to the trust</w:t>
            </w:r>
            <w:r w:rsidR="00426C3E">
              <w:rPr>
                <w:webHidden/>
              </w:rPr>
              <w:tab/>
            </w:r>
            <w:r w:rsidR="00426C3E">
              <w:rPr>
                <w:webHidden/>
              </w:rPr>
              <w:fldChar w:fldCharType="begin"/>
            </w:r>
            <w:r w:rsidR="00426C3E">
              <w:rPr>
                <w:webHidden/>
              </w:rPr>
              <w:instrText xml:space="preserve"> PAGEREF _Toc149217179 \h </w:instrText>
            </w:r>
            <w:r w:rsidR="00426C3E">
              <w:rPr>
                <w:webHidden/>
              </w:rPr>
            </w:r>
            <w:r w:rsidR="00426C3E">
              <w:rPr>
                <w:webHidden/>
              </w:rPr>
              <w:fldChar w:fldCharType="separate"/>
            </w:r>
            <w:r w:rsidR="00426C3E">
              <w:rPr>
                <w:webHidden/>
              </w:rPr>
              <w:t>28</w:t>
            </w:r>
            <w:r w:rsidR="00426C3E">
              <w:rPr>
                <w:webHidden/>
              </w:rPr>
              <w:fldChar w:fldCharType="end"/>
            </w:r>
          </w:hyperlink>
        </w:p>
        <w:p w14:paraId="4FF4803A" w14:textId="4E24ADEC" w:rsidR="00426C3E" w:rsidRDefault="006720B6">
          <w:pPr>
            <w:pStyle w:val="TOC2"/>
            <w:rPr>
              <w:rFonts w:asciiTheme="minorHAnsi" w:eastAsiaTheme="minorEastAsia" w:hAnsiTheme="minorHAnsi" w:cstheme="minorBidi"/>
              <w:sz w:val="22"/>
              <w:lang w:val="en-US"/>
            </w:rPr>
          </w:pPr>
          <w:hyperlink w:anchor="_Toc149217180" w:history="1">
            <w:r w:rsidR="00426C3E" w:rsidRPr="00A272BD">
              <w:rPr>
                <w:rStyle w:val="Hyperlink"/>
              </w:rPr>
              <w:t>5.5. Access to information</w:t>
            </w:r>
            <w:r w:rsidR="00426C3E">
              <w:rPr>
                <w:webHidden/>
              </w:rPr>
              <w:tab/>
            </w:r>
            <w:r w:rsidR="00426C3E">
              <w:rPr>
                <w:webHidden/>
              </w:rPr>
              <w:fldChar w:fldCharType="begin"/>
            </w:r>
            <w:r w:rsidR="00426C3E">
              <w:rPr>
                <w:webHidden/>
              </w:rPr>
              <w:instrText xml:space="preserve"> PAGEREF _Toc149217180 \h </w:instrText>
            </w:r>
            <w:r w:rsidR="00426C3E">
              <w:rPr>
                <w:webHidden/>
              </w:rPr>
            </w:r>
            <w:r w:rsidR="00426C3E">
              <w:rPr>
                <w:webHidden/>
              </w:rPr>
              <w:fldChar w:fldCharType="separate"/>
            </w:r>
            <w:r w:rsidR="00426C3E">
              <w:rPr>
                <w:webHidden/>
              </w:rPr>
              <w:t>29</w:t>
            </w:r>
            <w:r w:rsidR="00426C3E">
              <w:rPr>
                <w:webHidden/>
              </w:rPr>
              <w:fldChar w:fldCharType="end"/>
            </w:r>
          </w:hyperlink>
        </w:p>
        <w:p w14:paraId="71E80D74" w14:textId="2858066B" w:rsidR="00426C3E" w:rsidRDefault="006720B6">
          <w:pPr>
            <w:pStyle w:val="TOC1"/>
            <w:rPr>
              <w:rFonts w:asciiTheme="minorHAnsi" w:eastAsiaTheme="minorEastAsia" w:hAnsiTheme="minorHAnsi" w:cstheme="minorBidi"/>
              <w:b w:val="0"/>
              <w:sz w:val="22"/>
              <w:lang w:val="en-US"/>
            </w:rPr>
          </w:pPr>
          <w:hyperlink w:anchor="_Toc149217181" w:history="1">
            <w:r w:rsidR="00426C3E" w:rsidRPr="00A272BD">
              <w:rPr>
                <w:rStyle w:val="Hyperlink"/>
                <w:lang w:val="en-US"/>
              </w:rPr>
              <w:t>6.</w:t>
            </w:r>
            <w:r w:rsidR="00426C3E" w:rsidRPr="00A272BD">
              <w:rPr>
                <w:rStyle w:val="Hyperlink"/>
              </w:rPr>
              <w:t xml:space="preserve"> Sanctions</w:t>
            </w:r>
            <w:r w:rsidR="00426C3E">
              <w:rPr>
                <w:webHidden/>
              </w:rPr>
              <w:tab/>
            </w:r>
            <w:r w:rsidR="00426C3E">
              <w:rPr>
                <w:webHidden/>
              </w:rPr>
              <w:fldChar w:fldCharType="begin"/>
            </w:r>
            <w:r w:rsidR="00426C3E">
              <w:rPr>
                <w:webHidden/>
              </w:rPr>
              <w:instrText xml:space="preserve"> PAGEREF _Toc149217181 \h </w:instrText>
            </w:r>
            <w:r w:rsidR="00426C3E">
              <w:rPr>
                <w:webHidden/>
              </w:rPr>
            </w:r>
            <w:r w:rsidR="00426C3E">
              <w:rPr>
                <w:webHidden/>
              </w:rPr>
              <w:fldChar w:fldCharType="separate"/>
            </w:r>
            <w:r w:rsidR="00426C3E">
              <w:rPr>
                <w:webHidden/>
              </w:rPr>
              <w:t>30</w:t>
            </w:r>
            <w:r w:rsidR="00426C3E">
              <w:rPr>
                <w:webHidden/>
              </w:rPr>
              <w:fldChar w:fldCharType="end"/>
            </w:r>
          </w:hyperlink>
        </w:p>
        <w:p w14:paraId="6E5919EB" w14:textId="5D281C8D" w:rsidR="00426C3E" w:rsidRDefault="006720B6">
          <w:pPr>
            <w:pStyle w:val="TOC1"/>
            <w:rPr>
              <w:rFonts w:asciiTheme="minorHAnsi" w:eastAsiaTheme="minorEastAsia" w:hAnsiTheme="minorHAnsi" w:cstheme="minorBidi"/>
              <w:b w:val="0"/>
              <w:sz w:val="22"/>
              <w:lang w:val="en-US"/>
            </w:rPr>
          </w:pPr>
          <w:hyperlink w:anchor="_Toc149217182" w:history="1">
            <w:r w:rsidR="00426C3E" w:rsidRPr="00A272BD">
              <w:rPr>
                <w:rStyle w:val="Hyperlink"/>
                <w:lang w:val="en-US"/>
              </w:rPr>
              <w:t>7.</w:t>
            </w:r>
            <w:r w:rsidR="00426C3E" w:rsidRPr="00A272BD">
              <w:rPr>
                <w:rStyle w:val="Hyperlink"/>
              </w:rPr>
              <w:t xml:space="preserve"> Applicability of relevant regulatory regimes and other issues</w:t>
            </w:r>
            <w:r w:rsidR="00426C3E">
              <w:rPr>
                <w:webHidden/>
              </w:rPr>
              <w:tab/>
            </w:r>
            <w:r w:rsidR="00426C3E">
              <w:rPr>
                <w:webHidden/>
              </w:rPr>
              <w:fldChar w:fldCharType="begin"/>
            </w:r>
            <w:r w:rsidR="00426C3E">
              <w:rPr>
                <w:webHidden/>
              </w:rPr>
              <w:instrText xml:space="preserve"> PAGEREF _Toc149217182 \h </w:instrText>
            </w:r>
            <w:r w:rsidR="00426C3E">
              <w:rPr>
                <w:webHidden/>
              </w:rPr>
            </w:r>
            <w:r w:rsidR="00426C3E">
              <w:rPr>
                <w:webHidden/>
              </w:rPr>
              <w:fldChar w:fldCharType="separate"/>
            </w:r>
            <w:r w:rsidR="00426C3E">
              <w:rPr>
                <w:webHidden/>
              </w:rPr>
              <w:t>31</w:t>
            </w:r>
            <w:r w:rsidR="00426C3E">
              <w:rPr>
                <w:webHidden/>
              </w:rPr>
              <w:fldChar w:fldCharType="end"/>
            </w:r>
          </w:hyperlink>
        </w:p>
        <w:p w14:paraId="6B443318" w14:textId="2B84EC6D" w:rsidR="00426C3E" w:rsidRDefault="006720B6">
          <w:pPr>
            <w:pStyle w:val="TOC2"/>
            <w:rPr>
              <w:rFonts w:asciiTheme="minorHAnsi" w:eastAsiaTheme="minorEastAsia" w:hAnsiTheme="minorHAnsi" w:cstheme="minorBidi"/>
              <w:sz w:val="22"/>
              <w:lang w:val="en-US"/>
            </w:rPr>
          </w:pPr>
          <w:hyperlink w:anchor="_Toc149217183" w:history="1">
            <w:r w:rsidR="00426C3E" w:rsidRPr="00A272BD">
              <w:rPr>
                <w:rStyle w:val="Hyperlink"/>
                <w:lang w:val="en-US"/>
              </w:rPr>
              <w:t>7.1. Relevance of case law precedents in meeting the obligations on trustees.</w:t>
            </w:r>
            <w:r w:rsidR="00426C3E">
              <w:rPr>
                <w:webHidden/>
              </w:rPr>
              <w:tab/>
            </w:r>
            <w:r w:rsidR="00426C3E">
              <w:rPr>
                <w:webHidden/>
              </w:rPr>
              <w:fldChar w:fldCharType="begin"/>
            </w:r>
            <w:r w:rsidR="00426C3E">
              <w:rPr>
                <w:webHidden/>
              </w:rPr>
              <w:instrText xml:space="preserve"> PAGEREF _Toc149217183 \h </w:instrText>
            </w:r>
            <w:r w:rsidR="00426C3E">
              <w:rPr>
                <w:webHidden/>
              </w:rPr>
            </w:r>
            <w:r w:rsidR="00426C3E">
              <w:rPr>
                <w:webHidden/>
              </w:rPr>
              <w:fldChar w:fldCharType="separate"/>
            </w:r>
            <w:r w:rsidR="00426C3E">
              <w:rPr>
                <w:webHidden/>
              </w:rPr>
              <w:t>31</w:t>
            </w:r>
            <w:r w:rsidR="00426C3E">
              <w:rPr>
                <w:webHidden/>
              </w:rPr>
              <w:fldChar w:fldCharType="end"/>
            </w:r>
          </w:hyperlink>
        </w:p>
        <w:p w14:paraId="3269211F" w14:textId="2BC973AC" w:rsidR="00426C3E" w:rsidRDefault="006720B6">
          <w:pPr>
            <w:pStyle w:val="TOC2"/>
            <w:rPr>
              <w:rFonts w:asciiTheme="minorHAnsi" w:eastAsiaTheme="minorEastAsia" w:hAnsiTheme="minorHAnsi" w:cstheme="minorBidi"/>
              <w:sz w:val="22"/>
              <w:lang w:val="en-US"/>
            </w:rPr>
          </w:pPr>
          <w:hyperlink w:anchor="_Toc149217184" w:history="1">
            <w:r w:rsidR="00426C3E" w:rsidRPr="00A272BD">
              <w:rPr>
                <w:rStyle w:val="Hyperlink"/>
                <w:lang w:val="en-US"/>
              </w:rPr>
              <w:t>7.2. Implementation of the standards by service providers and trustees</w:t>
            </w:r>
            <w:r w:rsidR="00426C3E">
              <w:rPr>
                <w:webHidden/>
              </w:rPr>
              <w:tab/>
            </w:r>
            <w:r w:rsidR="00426C3E">
              <w:rPr>
                <w:webHidden/>
              </w:rPr>
              <w:fldChar w:fldCharType="begin"/>
            </w:r>
            <w:r w:rsidR="00426C3E">
              <w:rPr>
                <w:webHidden/>
              </w:rPr>
              <w:instrText xml:space="preserve"> PAGEREF _Toc149217184 \h </w:instrText>
            </w:r>
            <w:r w:rsidR="00426C3E">
              <w:rPr>
                <w:webHidden/>
              </w:rPr>
            </w:r>
            <w:r w:rsidR="00426C3E">
              <w:rPr>
                <w:webHidden/>
              </w:rPr>
              <w:fldChar w:fldCharType="separate"/>
            </w:r>
            <w:r w:rsidR="00426C3E">
              <w:rPr>
                <w:webHidden/>
              </w:rPr>
              <w:t>31</w:t>
            </w:r>
            <w:r w:rsidR="00426C3E">
              <w:rPr>
                <w:webHidden/>
              </w:rPr>
              <w:fldChar w:fldCharType="end"/>
            </w:r>
          </w:hyperlink>
        </w:p>
        <w:p w14:paraId="0628706A" w14:textId="17B51DB6" w:rsidR="00426C3E" w:rsidRDefault="006720B6">
          <w:pPr>
            <w:pStyle w:val="TOC2"/>
            <w:rPr>
              <w:rFonts w:asciiTheme="minorHAnsi" w:eastAsiaTheme="minorEastAsia" w:hAnsiTheme="minorHAnsi" w:cstheme="minorBidi"/>
              <w:sz w:val="22"/>
              <w:lang w:val="en-US"/>
            </w:rPr>
          </w:pPr>
          <w:hyperlink w:anchor="_Toc149217185" w:history="1">
            <w:r w:rsidR="00426C3E" w:rsidRPr="00A272BD">
              <w:rPr>
                <w:rStyle w:val="Hyperlink"/>
                <w:lang w:val="en-US"/>
              </w:rPr>
              <w:t>7.3.</w:t>
            </w:r>
            <w:r w:rsidR="00426C3E" w:rsidRPr="00A272BD">
              <w:rPr>
                <w:rStyle w:val="Hyperlink"/>
              </w:rPr>
              <w:t xml:space="preserve"> The implementation of beneficial ownership and other FATF standard requirements</w:t>
            </w:r>
            <w:r w:rsidR="00426C3E">
              <w:rPr>
                <w:webHidden/>
              </w:rPr>
              <w:tab/>
            </w:r>
            <w:r w:rsidR="00426C3E">
              <w:rPr>
                <w:webHidden/>
              </w:rPr>
              <w:fldChar w:fldCharType="begin"/>
            </w:r>
            <w:r w:rsidR="00426C3E">
              <w:rPr>
                <w:webHidden/>
              </w:rPr>
              <w:instrText xml:space="preserve"> PAGEREF _Toc149217185 \h </w:instrText>
            </w:r>
            <w:r w:rsidR="00426C3E">
              <w:rPr>
                <w:webHidden/>
              </w:rPr>
            </w:r>
            <w:r w:rsidR="00426C3E">
              <w:rPr>
                <w:webHidden/>
              </w:rPr>
              <w:fldChar w:fldCharType="separate"/>
            </w:r>
            <w:r w:rsidR="00426C3E">
              <w:rPr>
                <w:webHidden/>
              </w:rPr>
              <w:t>33</w:t>
            </w:r>
            <w:r w:rsidR="00426C3E">
              <w:rPr>
                <w:webHidden/>
              </w:rPr>
              <w:fldChar w:fldCharType="end"/>
            </w:r>
          </w:hyperlink>
        </w:p>
        <w:p w14:paraId="586D574A" w14:textId="61A5AB93" w:rsidR="00426C3E" w:rsidRDefault="006720B6">
          <w:pPr>
            <w:pStyle w:val="TOC1"/>
            <w:rPr>
              <w:rFonts w:asciiTheme="minorHAnsi" w:eastAsiaTheme="minorEastAsia" w:hAnsiTheme="minorHAnsi" w:cstheme="minorBidi"/>
              <w:b w:val="0"/>
              <w:sz w:val="22"/>
              <w:lang w:val="en-US"/>
            </w:rPr>
          </w:pPr>
          <w:hyperlink w:anchor="_Toc149217186" w:history="1">
            <w:r w:rsidR="00426C3E" w:rsidRPr="00A272BD">
              <w:rPr>
                <w:rStyle w:val="Hyperlink"/>
                <w:lang w:val="en-US"/>
              </w:rPr>
              <w:t>8.</w:t>
            </w:r>
            <w:r w:rsidR="00426C3E" w:rsidRPr="00A272BD">
              <w:rPr>
                <w:rStyle w:val="Hyperlink"/>
              </w:rPr>
              <w:t xml:space="preserve"> International co-operation</w:t>
            </w:r>
            <w:r w:rsidR="00426C3E">
              <w:rPr>
                <w:webHidden/>
              </w:rPr>
              <w:tab/>
            </w:r>
            <w:r w:rsidR="00426C3E">
              <w:rPr>
                <w:webHidden/>
              </w:rPr>
              <w:fldChar w:fldCharType="begin"/>
            </w:r>
            <w:r w:rsidR="00426C3E">
              <w:rPr>
                <w:webHidden/>
              </w:rPr>
              <w:instrText xml:space="preserve"> PAGEREF _Toc149217186 \h </w:instrText>
            </w:r>
            <w:r w:rsidR="00426C3E">
              <w:rPr>
                <w:webHidden/>
              </w:rPr>
            </w:r>
            <w:r w:rsidR="00426C3E">
              <w:rPr>
                <w:webHidden/>
              </w:rPr>
              <w:fldChar w:fldCharType="separate"/>
            </w:r>
            <w:r w:rsidR="00426C3E">
              <w:rPr>
                <w:webHidden/>
              </w:rPr>
              <w:t>36</w:t>
            </w:r>
            <w:r w:rsidR="00426C3E">
              <w:rPr>
                <w:webHidden/>
              </w:rPr>
              <w:fldChar w:fldCharType="end"/>
            </w:r>
          </w:hyperlink>
        </w:p>
        <w:p w14:paraId="75BAA857" w14:textId="3562C636" w:rsidR="00426C3E" w:rsidRDefault="006720B6">
          <w:pPr>
            <w:pStyle w:val="TOC1"/>
            <w:rPr>
              <w:rFonts w:asciiTheme="minorHAnsi" w:eastAsiaTheme="minorEastAsia" w:hAnsiTheme="minorHAnsi" w:cstheme="minorBidi"/>
              <w:b w:val="0"/>
              <w:sz w:val="22"/>
              <w:lang w:val="en-US"/>
            </w:rPr>
          </w:pPr>
          <w:hyperlink w:anchor="_Toc149217187" w:history="1">
            <w:r w:rsidR="00426C3E" w:rsidRPr="00A272BD">
              <w:rPr>
                <w:rStyle w:val="Hyperlink"/>
                <w:lang w:val="en-US"/>
              </w:rPr>
              <w:t>Annex A. Trust Purposes</w:t>
            </w:r>
            <w:r w:rsidR="00426C3E">
              <w:rPr>
                <w:webHidden/>
              </w:rPr>
              <w:tab/>
            </w:r>
            <w:r w:rsidR="00426C3E">
              <w:rPr>
                <w:webHidden/>
              </w:rPr>
              <w:fldChar w:fldCharType="begin"/>
            </w:r>
            <w:r w:rsidR="00426C3E">
              <w:rPr>
                <w:webHidden/>
              </w:rPr>
              <w:instrText xml:space="preserve"> PAGEREF _Toc149217187 \h </w:instrText>
            </w:r>
            <w:r w:rsidR="00426C3E">
              <w:rPr>
                <w:webHidden/>
              </w:rPr>
            </w:r>
            <w:r w:rsidR="00426C3E">
              <w:rPr>
                <w:webHidden/>
              </w:rPr>
              <w:fldChar w:fldCharType="separate"/>
            </w:r>
            <w:r w:rsidR="00426C3E">
              <w:rPr>
                <w:webHidden/>
              </w:rPr>
              <w:t>38</w:t>
            </w:r>
            <w:r w:rsidR="00426C3E">
              <w:rPr>
                <w:webHidden/>
              </w:rPr>
              <w:fldChar w:fldCharType="end"/>
            </w:r>
          </w:hyperlink>
        </w:p>
        <w:p w14:paraId="171EFC76" w14:textId="14D9187B" w:rsidR="004F470D" w:rsidRPr="003B7B31" w:rsidRDefault="004F470D" w:rsidP="00570530">
          <w:pPr>
            <w:pStyle w:val="Para0"/>
            <w:rPr>
              <w:b/>
              <w:lang w:val="en-US"/>
            </w:rPr>
          </w:pPr>
          <w:r w:rsidRPr="003B7B31">
            <w:rPr>
              <w:b/>
              <w:lang w:val="en-US"/>
            </w:rPr>
            <w:fldChar w:fldCharType="end"/>
          </w:r>
        </w:p>
        <w:p w14:paraId="073B7019" w14:textId="530BCF22" w:rsidR="004F470D" w:rsidRPr="00426C3E" w:rsidRDefault="006720B6" w:rsidP="00426C3E">
          <w:pPr>
            <w:pStyle w:val="Para0"/>
            <w:rPr>
              <w:bCs/>
              <w:noProof/>
              <w:lang w:val="en-US"/>
            </w:rPr>
          </w:pPr>
        </w:p>
      </w:sdtContent>
    </w:sdt>
    <w:p w14:paraId="0E4831EC" w14:textId="77777777" w:rsidR="00386A6C" w:rsidRDefault="00386A6C" w:rsidP="00B2377F">
      <w:pPr>
        <w:pStyle w:val="Heading1"/>
        <w:numPr>
          <w:ilvl w:val="0"/>
          <w:numId w:val="6"/>
        </w:numPr>
      </w:pPr>
      <w:bookmarkStart w:id="2" w:name="_Toc145618522"/>
      <w:bookmarkStart w:id="3" w:name="_Toc149217159"/>
      <w:r w:rsidRPr="00B2377F">
        <w:lastRenderedPageBreak/>
        <w:t>Introduction</w:t>
      </w:r>
      <w:bookmarkEnd w:id="2"/>
      <w:bookmarkEnd w:id="3"/>
      <w:r w:rsidRPr="00FD0A28">
        <w:t xml:space="preserve"> </w:t>
      </w:r>
    </w:p>
    <w:p w14:paraId="02AFDF1D" w14:textId="77777777" w:rsidR="008C2404" w:rsidRDefault="008C2404" w:rsidP="008C2404">
      <w:pPr>
        <w:pStyle w:val="Para"/>
        <w:numPr>
          <w:ilvl w:val="0"/>
          <w:numId w:val="35"/>
        </w:numPr>
      </w:pPr>
      <w:r>
        <w:t>Express</w:t>
      </w:r>
      <w:r>
        <w:rPr>
          <w:rStyle w:val="FootnoteReference"/>
        </w:rPr>
        <w:footnoteReference w:id="2"/>
      </w:r>
      <w:r>
        <w:t xml:space="preserve"> trusts </w:t>
      </w:r>
      <w:r w:rsidRPr="008C2404">
        <w:t xml:space="preserve">and similar legal arrangements are generally formed for essential and legitimate purposes. However, in cases where these legal arrangements may be abused by criminals that manage to circumvent anti-money laundering and counter-terrorist financing (AML/CFT) measures, the ability to </w:t>
      </w:r>
      <w:proofErr w:type="gramStart"/>
      <w:r w:rsidRPr="008C2404">
        <w:t>adequately and effectively identify the beneficial owners of these arrangements</w:t>
      </w:r>
      <w:proofErr w:type="gramEnd"/>
      <w:r w:rsidRPr="008C2404">
        <w:t xml:space="preserve"> is an important step towards ensuring their integrity and mitigating the effects</w:t>
      </w:r>
      <w:r>
        <w:t xml:space="preserve"> of abuse.</w:t>
      </w:r>
    </w:p>
    <w:p w14:paraId="300F0DBD" w14:textId="77777777" w:rsidR="000F7B18" w:rsidRPr="000F7B18" w:rsidRDefault="000F7B18" w:rsidP="000F7B18">
      <w:pPr>
        <w:pStyle w:val="Para"/>
      </w:pPr>
      <w:r w:rsidRPr="000F7B18">
        <w:t xml:space="preserve">Countries should assess the </w:t>
      </w:r>
      <w:r w:rsidR="00AF27DA">
        <w:t>money laundering and terrorist financing (</w:t>
      </w:r>
      <w:r w:rsidRPr="000F7B18">
        <w:t>ML/TF</w:t>
      </w:r>
      <w:r w:rsidR="00AF27DA">
        <w:t>)</w:t>
      </w:r>
      <w:r w:rsidRPr="000F7B18">
        <w:t xml:space="preserve"> risks of misuse of legal arrangements and take </w:t>
      </w:r>
      <w:r w:rsidR="00204010">
        <w:t>preventive measures</w:t>
      </w:r>
      <w:r w:rsidRPr="000F7B18">
        <w:t>. In particular, countries should ensure that there is adequate, accurate</w:t>
      </w:r>
      <w:r w:rsidR="008E7640">
        <w:t>,</w:t>
      </w:r>
      <w:r w:rsidRPr="000F7B18">
        <w:t xml:space="preserve"> and up-to-date information on express trusts and other similar legal arrangements</w:t>
      </w:r>
      <w:r w:rsidR="008E7640">
        <w:t>,</w:t>
      </w:r>
      <w:r w:rsidRPr="000F7B18">
        <w:t xml:space="preserve"> including information on </w:t>
      </w:r>
      <w:r w:rsidR="00AF27DA">
        <w:t>the settlor(s), trustee(s), protector</w:t>
      </w:r>
      <w:r w:rsidR="008E7640">
        <w:t>(s)</w:t>
      </w:r>
      <w:r w:rsidR="00AF27DA">
        <w:t xml:space="preserve"> and beneficiary(</w:t>
      </w:r>
      <w:proofErr w:type="spellStart"/>
      <w:r w:rsidR="00AF27DA">
        <w:t>ies</w:t>
      </w:r>
      <w:proofErr w:type="spellEnd"/>
      <w:r w:rsidR="00AF27DA">
        <w:t>), or class</w:t>
      </w:r>
      <w:r w:rsidR="008E7640">
        <w:t>(es)</w:t>
      </w:r>
      <w:r w:rsidR="00AF27DA">
        <w:t xml:space="preserve"> of beneficiaries, and any other person exercising ultimate effective control,</w:t>
      </w:r>
      <w:r w:rsidR="00AF27DA" w:rsidRPr="000F7B18">
        <w:t xml:space="preserve"> </w:t>
      </w:r>
      <w:r w:rsidRPr="000F7B18">
        <w:t>that can be obtained or accessed efficiently and in a timely manner by competent authorities. Countries should consider facilitating access to beneficial ownership and control information by financial institutions</w:t>
      </w:r>
      <w:r w:rsidR="00AF27DA">
        <w:t xml:space="preserve"> (FIs)</w:t>
      </w:r>
      <w:r w:rsidRPr="000F7B18">
        <w:t xml:space="preserve"> and </w:t>
      </w:r>
      <w:r w:rsidR="00AF27DA">
        <w:t>Designated Non-Financial Businesses and Professions (</w:t>
      </w:r>
      <w:r w:rsidRPr="000F7B18">
        <w:t>DNFBPs</w:t>
      </w:r>
      <w:r w:rsidR="00AF27DA">
        <w:t>)</w:t>
      </w:r>
      <w:r w:rsidRPr="000F7B18">
        <w:t xml:space="preserve"> undertaking the requirements set out in R</w:t>
      </w:r>
      <w:r w:rsidR="00AF27DA">
        <w:t>.</w:t>
      </w:r>
      <w:r w:rsidRPr="000F7B18">
        <w:t xml:space="preserve">10 and </w:t>
      </w:r>
      <w:r w:rsidR="00AF27DA">
        <w:t>R.</w:t>
      </w:r>
      <w:r w:rsidRPr="000F7B18">
        <w:t>22.</w:t>
      </w:r>
    </w:p>
    <w:p w14:paraId="4C8ED9F6" w14:textId="77777777" w:rsidR="00386A6C" w:rsidRPr="00A1306E" w:rsidRDefault="00386A6C" w:rsidP="00A1306E">
      <w:pPr>
        <w:pStyle w:val="Para"/>
      </w:pPr>
      <w:bookmarkStart w:id="4" w:name="_Hlk145606777"/>
      <w:r w:rsidRPr="00A1306E">
        <w:t>This Guidance on R</w:t>
      </w:r>
      <w:r w:rsidR="00EA3869" w:rsidRPr="00A1306E">
        <w:t>.</w:t>
      </w:r>
      <w:r w:rsidRPr="00A1306E">
        <w:t>25 complements previous FATF efforts on the transparency of legal person</w:t>
      </w:r>
      <w:r w:rsidR="00542C38">
        <w:t>s</w:t>
      </w:r>
      <w:r w:rsidRPr="00A1306E">
        <w:t xml:space="preserve">, by focusing on transparency requirements applicable to “legal arrangements”, which refers to express trusts or other similar </w:t>
      </w:r>
      <w:r w:rsidR="00542C38">
        <w:t xml:space="preserve">legal </w:t>
      </w:r>
      <w:r w:rsidRPr="00A1306E">
        <w:t>arrangements</w:t>
      </w:r>
      <w:r w:rsidR="00542C38">
        <w:t>.</w:t>
      </w:r>
      <w:r w:rsidRPr="00240A30">
        <w:rPr>
          <w:rStyle w:val="FootnoteReference"/>
        </w:rPr>
        <w:footnoteReference w:id="3"/>
      </w:r>
      <w:r w:rsidRPr="00A1306E">
        <w:t xml:space="preserve"> </w:t>
      </w:r>
      <w:r w:rsidR="000F7B18">
        <w:t xml:space="preserve">It is important to bear in mind </w:t>
      </w:r>
      <w:r w:rsidR="000F7B18" w:rsidRPr="00A1306E">
        <w:t>that trust</w:t>
      </w:r>
      <w:r w:rsidR="000F7B18">
        <w:t>s</w:t>
      </w:r>
      <w:r w:rsidR="000F7B18" w:rsidRPr="00A1306E">
        <w:t xml:space="preserve"> </w:t>
      </w:r>
      <w:r w:rsidR="000F7B18">
        <w:t xml:space="preserve">are </w:t>
      </w:r>
      <w:r w:rsidR="000F7B18" w:rsidRPr="00A1306E">
        <w:t xml:space="preserve">not </w:t>
      </w:r>
      <w:r w:rsidR="000F7B18">
        <w:t xml:space="preserve">a type of legal </w:t>
      </w:r>
      <w:r w:rsidR="000F7B18" w:rsidRPr="00A1306E">
        <w:t xml:space="preserve">entity or </w:t>
      </w:r>
      <w:r w:rsidR="000F7B18">
        <w:t xml:space="preserve">corporate </w:t>
      </w:r>
      <w:r w:rsidR="000F7B18" w:rsidRPr="00A1306E">
        <w:t>vehicle but a relationship between the principal parties</w:t>
      </w:r>
      <w:r w:rsidR="000F7B18">
        <w:t xml:space="preserve"> to such arrangement</w:t>
      </w:r>
      <w:r w:rsidR="000F7B18" w:rsidRPr="00A1306E">
        <w:t>.</w:t>
      </w:r>
    </w:p>
    <w:bookmarkEnd w:id="4"/>
    <w:p w14:paraId="1F4C9C18" w14:textId="77777777" w:rsidR="00EA3869" w:rsidRDefault="00386A6C" w:rsidP="00A1306E">
      <w:pPr>
        <w:pStyle w:val="Para"/>
      </w:pPr>
      <w:r w:rsidRPr="00A1306E">
        <w:t>Th</w:t>
      </w:r>
      <w:r w:rsidR="00E64AE6">
        <w:t>is</w:t>
      </w:r>
      <w:r w:rsidRPr="00A1306E">
        <w:t xml:space="preserve"> Guidance is aimed at all stakeholders from public and private sectors that regulate, </w:t>
      </w:r>
      <w:r w:rsidR="007827E9">
        <w:t xml:space="preserve">supervise, enforce, form, </w:t>
      </w:r>
      <w:r w:rsidRPr="00A1306E">
        <w:t>manage</w:t>
      </w:r>
      <w:r>
        <w:t xml:space="preserve"> or </w:t>
      </w:r>
      <w:r w:rsidR="007827E9">
        <w:t xml:space="preserve">administer </w:t>
      </w:r>
      <w:r>
        <w:t>trusts or similar legal arrangements. It focuses on R.25 requirements and addresses</w:t>
      </w:r>
      <w:r w:rsidR="00F25ADC">
        <w:t xml:space="preserve"> </w:t>
      </w:r>
      <w:r>
        <w:t xml:space="preserve">the trust-specific features and related AML/CFT transparency obligations. It is complementary to the Guidance published on R.24 </w:t>
      </w:r>
      <w:r w:rsidR="00341936">
        <w:t xml:space="preserve">in view of certain overlapping </w:t>
      </w:r>
      <w:r w:rsidR="00542C38">
        <w:t>elements and</w:t>
      </w:r>
      <w:r>
        <w:t xml:space="preserve"> aims at assisting the implementation of the requirements of R</w:t>
      </w:r>
      <w:r w:rsidR="00EA3869">
        <w:t>.</w:t>
      </w:r>
      <w:r>
        <w:t xml:space="preserve">25, adopted in February 2023. </w:t>
      </w:r>
      <w:r w:rsidR="00AF27DA">
        <w:t>Guidance on R.24 and R.25</w:t>
      </w:r>
      <w:r>
        <w:t xml:space="preserve"> should be read in parallel as equally informing countries’ approach</w:t>
      </w:r>
      <w:r w:rsidR="00BE0D0C">
        <w:t>es</w:t>
      </w:r>
      <w:r>
        <w:t xml:space="preserve"> to the implementation of </w:t>
      </w:r>
      <w:r w:rsidR="00BE0D0C">
        <w:t xml:space="preserve">the </w:t>
      </w:r>
      <w:r>
        <w:t>FATF Standards on beneficial ownership</w:t>
      </w:r>
      <w:r w:rsidR="00EA3869">
        <w:t>.</w:t>
      </w:r>
    </w:p>
    <w:p w14:paraId="590D0382" w14:textId="77777777" w:rsidR="00F55B5E" w:rsidRDefault="00F55B5E" w:rsidP="00F55B5E">
      <w:pPr>
        <w:pStyle w:val="Para"/>
      </w:pPr>
      <w:r>
        <w:t xml:space="preserve">This </w:t>
      </w:r>
      <w:r w:rsidR="00AA5521">
        <w:t>G</w:t>
      </w:r>
      <w:r>
        <w:t>uidance is non-binding and does not override the purview of national authorities.</w:t>
      </w:r>
      <w:r w:rsidRPr="00F55B5E">
        <w:t xml:space="preserve"> </w:t>
      </w:r>
      <w:r>
        <w:t xml:space="preserve">It is intended to complement existing FATF guidance and other ongoing work by building upon the available research, including relevant FATF typologies reports, and the experiences of countries. It also </w:t>
      </w:r>
      <w:proofErr w:type="gramStart"/>
      <w:r>
        <w:t>takes into account</w:t>
      </w:r>
      <w:proofErr w:type="gramEnd"/>
      <w:r>
        <w:t xml:space="preserve"> work being undertaken by other international bodies, which are focusing on ensuring transparency of beneficial ownership information.</w:t>
      </w:r>
    </w:p>
    <w:p w14:paraId="634C744E" w14:textId="77777777" w:rsidR="00F25ADC" w:rsidRDefault="00F25ADC" w:rsidP="00B2377F">
      <w:pPr>
        <w:pStyle w:val="Heading1"/>
      </w:pPr>
      <w:bookmarkStart w:id="5" w:name="_Toc145618523"/>
      <w:bookmarkStart w:id="6" w:name="_Toc149217160"/>
      <w:r>
        <w:t xml:space="preserve">Scope of R.25: </w:t>
      </w:r>
      <w:r w:rsidRPr="00B2377F">
        <w:t>Trusts</w:t>
      </w:r>
      <w:r>
        <w:t xml:space="preserve"> and other similar legal arrangement</w:t>
      </w:r>
      <w:bookmarkEnd w:id="5"/>
      <w:r w:rsidR="00251463">
        <w:t>s</w:t>
      </w:r>
      <w:bookmarkEnd w:id="6"/>
      <w:r>
        <w:t xml:space="preserve"> </w:t>
      </w:r>
    </w:p>
    <w:p w14:paraId="0716CBA0" w14:textId="77777777" w:rsidR="000F7B18" w:rsidRDefault="000F7B18" w:rsidP="000F7B18">
      <w:pPr>
        <w:pStyle w:val="Para"/>
      </w:pPr>
      <w:r>
        <w:t>In March 2023</w:t>
      </w:r>
      <w:r w:rsidR="00E00172">
        <w:t>,</w:t>
      </w:r>
      <w:r>
        <w:t xml:space="preserve"> th</w:t>
      </w:r>
      <w:r w:rsidRPr="00A1306E">
        <w:t xml:space="preserve">e FATF strengthened its </w:t>
      </w:r>
      <w:r>
        <w:t>R.</w:t>
      </w:r>
      <w:r w:rsidRPr="00A1306E">
        <w:t xml:space="preserve">24 and </w:t>
      </w:r>
      <w:r>
        <w:t>R.</w:t>
      </w:r>
      <w:r w:rsidRPr="00A1306E">
        <w:t xml:space="preserve">25 on beneficial ownership </w:t>
      </w:r>
      <w:r w:rsidR="00AF27DA">
        <w:t>with the publication of</w:t>
      </w:r>
      <w:r w:rsidRPr="00A1306E">
        <w:t xml:space="preserve"> updated </w:t>
      </w:r>
      <w:r>
        <w:t>G</w:t>
      </w:r>
      <w:r w:rsidRPr="00A1306E">
        <w:t xml:space="preserve">uidance to assist the implementation of the </w:t>
      </w:r>
      <w:r>
        <w:t xml:space="preserve">R.24 </w:t>
      </w:r>
      <w:r w:rsidRPr="00A1306E">
        <w:t>requirements.</w:t>
      </w:r>
      <w:r>
        <w:t xml:space="preserve"> </w:t>
      </w:r>
      <w:r w:rsidRPr="00A1306E">
        <w:t>The Guidance on R.24 includes non-binding advice on how to assess and mitigate relevant ML/TF risks</w:t>
      </w:r>
      <w:r>
        <w:t xml:space="preserve"> for legal persons</w:t>
      </w:r>
      <w:r w:rsidR="00032F10">
        <w:t xml:space="preserve"> </w:t>
      </w:r>
      <w:r w:rsidRPr="00A1306E">
        <w:t xml:space="preserve">and ensure accurate and adequate </w:t>
      </w:r>
      <w:r w:rsidRPr="00A1306E">
        <w:lastRenderedPageBreak/>
        <w:t xml:space="preserve">information </w:t>
      </w:r>
      <w:r w:rsidR="00032F10">
        <w:t xml:space="preserve">is accessible </w:t>
      </w:r>
      <w:r w:rsidRPr="00A1306E">
        <w:t>in a timely manner</w:t>
      </w:r>
      <w:r w:rsidR="00E61720">
        <w:t>. It</w:t>
      </w:r>
      <w:r>
        <w:t xml:space="preserve"> also</w:t>
      </w:r>
      <w:r w:rsidRPr="00A1306E">
        <w:t xml:space="preserve"> provides examples of relevant mechanisms to identify and verify the beneficial ownership information by competent authorities to ensure its accuracy. The Guidance additionally includes insights on proportionate</w:t>
      </w:r>
      <w:r>
        <w:t>, dissuasive, and effective sanctions and how these may best be applied to breaches of compliance with beneficial ownership requirements.</w:t>
      </w:r>
    </w:p>
    <w:p w14:paraId="108E7333" w14:textId="77777777" w:rsidR="000F7B18" w:rsidRDefault="000F7B18" w:rsidP="000F7B18">
      <w:pPr>
        <w:pStyle w:val="Para"/>
      </w:pPr>
      <w:r>
        <w:t xml:space="preserve">The FATF Standards on transparency and beneficial ownership of legal arrangements – R.25 </w:t>
      </w:r>
      <w:r w:rsidR="007C489D">
        <w:t>–</w:t>
      </w:r>
      <w:r>
        <w:t xml:space="preserve"> require countries to assess the ML/TF risks </w:t>
      </w:r>
      <w:r w:rsidR="00AA5521">
        <w:t>linked to</w:t>
      </w:r>
      <w:r>
        <w:t xml:space="preserve"> legal arrangements and take </w:t>
      </w:r>
      <w:r w:rsidR="00AA5521">
        <w:t xml:space="preserve">mitigating </w:t>
      </w:r>
      <w:r>
        <w:t xml:space="preserve">measures. </w:t>
      </w:r>
    </w:p>
    <w:p w14:paraId="43E6163D" w14:textId="77777777" w:rsidR="000F7B18" w:rsidRDefault="000F7B18" w:rsidP="000F7B18">
      <w:pPr>
        <w:pStyle w:val="Para"/>
      </w:pPr>
      <w:r>
        <w:t xml:space="preserve">This section of the Guidance aims at assisting countries and the private sector in better understanding the scope of application of transparency requirements for legal arrangements under the FATF Standards. It will discuss the distinction between legal persons and legal arrangements and then focus on the features and examples of express trusts in an effort to support countries in </w:t>
      </w:r>
      <w:r w:rsidR="00194CF9">
        <w:t xml:space="preserve">identifying </w:t>
      </w:r>
      <w:r>
        <w:t xml:space="preserve">what constitutes a legal arrangement </w:t>
      </w:r>
      <w:r w:rsidRPr="009F77ED">
        <w:rPr>
          <w:i/>
          <w:iCs/>
        </w:rPr>
        <w:t>similar</w:t>
      </w:r>
      <w:r>
        <w:t xml:space="preserve"> to an express trust. </w:t>
      </w:r>
    </w:p>
    <w:p w14:paraId="6CEFEA2A" w14:textId="77777777" w:rsidR="00F25ADC" w:rsidRPr="0037088C" w:rsidRDefault="0037088C" w:rsidP="00B2377F">
      <w:pPr>
        <w:pStyle w:val="Heading2"/>
        <w:rPr>
          <w:lang w:val="en-US"/>
        </w:rPr>
      </w:pPr>
      <w:bookmarkStart w:id="7" w:name="_Toc149217161"/>
      <w:r w:rsidRPr="00B2377F">
        <w:t>Express</w:t>
      </w:r>
      <w:r>
        <w:rPr>
          <w:lang w:val="en-US"/>
        </w:rPr>
        <w:t xml:space="preserve"> Trusts</w:t>
      </w:r>
      <w:bookmarkEnd w:id="7"/>
    </w:p>
    <w:p w14:paraId="4AF73C73" w14:textId="77777777" w:rsidR="00716D67" w:rsidRDefault="00716D67" w:rsidP="00885103">
      <w:pPr>
        <w:pStyle w:val="Para"/>
        <w:numPr>
          <w:ilvl w:val="0"/>
          <w:numId w:val="17"/>
        </w:numPr>
      </w:pPr>
      <w:r>
        <w:t>The term e</w:t>
      </w:r>
      <w:r w:rsidRPr="00FD0A28">
        <w:t>xpress trusts</w:t>
      </w:r>
      <w:r>
        <w:t xml:space="preserve"> (</w:t>
      </w:r>
      <w:r w:rsidRPr="00F25ADC">
        <w:t xml:space="preserve">hereinafter, “trusts”) </w:t>
      </w:r>
      <w:r>
        <w:t xml:space="preserve">is defined in the Glossary to the FATF </w:t>
      </w:r>
      <w:r w:rsidR="00E945F4">
        <w:t>R</w:t>
      </w:r>
      <w:r w:rsidR="00C6666B">
        <w:t>ecommendations</w:t>
      </w:r>
      <w:r>
        <w:t xml:space="preserve"> and means a trust clearly created by the settlor, usually in the form of a document (such as the written instrument of the trust). Express trusts are to be contrasted with trusts which come into being through the operation of the law and do not result from the</w:t>
      </w:r>
      <w:r w:rsidR="002D19F7">
        <w:t xml:space="preserve"> settlor’s </w:t>
      </w:r>
      <w:r>
        <w:t>clear intent or decision</w:t>
      </w:r>
      <w:r w:rsidR="002D19F7">
        <w:t xml:space="preserve"> </w:t>
      </w:r>
      <w:r>
        <w:t>to create a trust or similar legal arrangement.</w:t>
      </w:r>
    </w:p>
    <w:p w14:paraId="09D6F6E6" w14:textId="77777777" w:rsidR="0080595B" w:rsidRDefault="00716D67" w:rsidP="0080595B">
      <w:pPr>
        <w:pStyle w:val="Para"/>
      </w:pPr>
      <w:r>
        <w:t>Express trusts are</w:t>
      </w:r>
      <w:r w:rsidR="0080595B">
        <w:t xml:space="preserve"> an arrangement governing the relationship between the parties (particularly the settlor, trustee and beneficiaries) and the assets and do not have </w:t>
      </w:r>
      <w:r w:rsidR="00311DDC">
        <w:t xml:space="preserve">their </w:t>
      </w:r>
      <w:r w:rsidR="0080595B">
        <w:t>own legal identity. The trustee is the legal owner of the assets and enters into agreements on behalf of the trust.</w:t>
      </w:r>
    </w:p>
    <w:p w14:paraId="16CA9758" w14:textId="77777777" w:rsidR="0037088C" w:rsidRPr="00A1306E" w:rsidRDefault="00F25ADC" w:rsidP="00A1306E">
      <w:pPr>
        <w:pStyle w:val="Para"/>
      </w:pPr>
      <w:r w:rsidRPr="00F25ADC">
        <w:t xml:space="preserve">This type of arrangement serves the purpose of managing and distributing assets, and/or income </w:t>
      </w:r>
      <w:r w:rsidR="001D2BFF" w:rsidRPr="00F25ADC">
        <w:t>deriv</w:t>
      </w:r>
      <w:r w:rsidR="001D2BFF">
        <w:t>ed</w:t>
      </w:r>
      <w:r w:rsidR="001D2BFF" w:rsidRPr="00F25ADC">
        <w:t xml:space="preserve"> </w:t>
      </w:r>
      <w:r w:rsidRPr="00F25ADC">
        <w:t xml:space="preserve">from the management of the assets in accordance with the terms of the trust agreement and the fiduciary duties of the </w:t>
      </w:r>
      <w:r w:rsidRPr="00A1306E">
        <w:t xml:space="preserve">trustee. </w:t>
      </w:r>
    </w:p>
    <w:p w14:paraId="751CD0E0" w14:textId="77777777" w:rsidR="00D3697A" w:rsidRPr="00D3697A" w:rsidRDefault="00766758" w:rsidP="00A1306E">
      <w:pPr>
        <w:pStyle w:val="Para"/>
        <w:rPr>
          <w:lang w:val="en-US"/>
        </w:rPr>
      </w:pPr>
      <w:r w:rsidRPr="00A1306E">
        <w:t>Generally</w:t>
      </w:r>
      <w:r w:rsidR="00D3697A" w:rsidRPr="00A1306E">
        <w:t xml:space="preserve">, trusts </w:t>
      </w:r>
      <w:r w:rsidRPr="00A1306E">
        <w:t>are</w:t>
      </w:r>
      <w:r w:rsidR="00D3697A" w:rsidRPr="00A1306E">
        <w:t xml:space="preserve"> categorised </w:t>
      </w:r>
      <w:r w:rsidRPr="00A1306E">
        <w:t>as</w:t>
      </w:r>
      <w:r w:rsidR="00D3697A" w:rsidRPr="00A1306E">
        <w:t xml:space="preserve"> trusts for persons</w:t>
      </w:r>
      <w:r w:rsidR="0080595B">
        <w:t xml:space="preserve"> (beneficiaries)</w:t>
      </w:r>
      <w:r w:rsidR="00D3697A" w:rsidRPr="00A1306E">
        <w:t>, or purpose</w:t>
      </w:r>
      <w:r w:rsidR="0080595B">
        <w:t>s</w:t>
      </w:r>
      <w:r w:rsidRPr="00A1306E">
        <w:t xml:space="preserve"> </w:t>
      </w:r>
      <w:r w:rsidR="00D3697A" w:rsidRPr="00A1306E">
        <w:t>(charitable or non-charitable)</w:t>
      </w:r>
      <w:r w:rsidRPr="0080595B">
        <w:rPr>
          <w:rStyle w:val="FootnoteReference"/>
        </w:rPr>
        <w:footnoteReference w:id="4"/>
      </w:r>
      <w:r w:rsidRPr="00A1306E">
        <w:t xml:space="preserve"> and have</w:t>
      </w:r>
      <w:r w:rsidR="00D3697A" w:rsidRPr="00A1306E">
        <w:t xml:space="preserve"> historically been used where otherwise available legal forms presented impediments or failed to</w:t>
      </w:r>
      <w:r w:rsidR="00D3697A" w:rsidRPr="00D3697A">
        <w:rPr>
          <w:lang w:val="en-US"/>
        </w:rPr>
        <w:t xml:space="preserve"> accommodate </w:t>
      </w:r>
      <w:r>
        <w:rPr>
          <w:lang w:val="en-US"/>
        </w:rPr>
        <w:t>specific economic</w:t>
      </w:r>
      <w:r w:rsidR="00D3697A" w:rsidRPr="00D3697A">
        <w:rPr>
          <w:lang w:val="en-US"/>
        </w:rPr>
        <w:t xml:space="preserve"> </w:t>
      </w:r>
      <w:r>
        <w:rPr>
          <w:lang w:val="en-US"/>
        </w:rPr>
        <w:t>endeavors</w:t>
      </w:r>
      <w:r w:rsidR="00D3697A" w:rsidRPr="00D3697A">
        <w:rPr>
          <w:lang w:val="en-US"/>
        </w:rPr>
        <w:t xml:space="preserve">.  Purposes of trusts may include: </w:t>
      </w:r>
    </w:p>
    <w:p w14:paraId="6D860D45" w14:textId="77777777" w:rsidR="00D3697A" w:rsidRDefault="00D3697A" w:rsidP="004F470D">
      <w:pPr>
        <w:pStyle w:val="BulletedList"/>
        <w:rPr>
          <w:lang w:val="en-US"/>
        </w:rPr>
      </w:pPr>
      <w:r w:rsidRPr="00D3697A">
        <w:rPr>
          <w:lang w:val="en-US"/>
        </w:rPr>
        <w:t>Asset protection (i.e., preserving assets from perceived external risks, such as the death of a settlor, wasteful actions of the beneficiary, etc.)</w:t>
      </w:r>
      <w:r w:rsidR="003B7C66">
        <w:rPr>
          <w:lang w:val="en-US"/>
        </w:rPr>
        <w:t>.</w:t>
      </w:r>
      <w:r w:rsidRPr="00D3697A">
        <w:rPr>
          <w:lang w:val="en-US"/>
        </w:rPr>
        <w:t xml:space="preserve"> </w:t>
      </w:r>
    </w:p>
    <w:p w14:paraId="4AB7FF7C" w14:textId="77777777" w:rsidR="00D3697A" w:rsidRPr="00D3697A" w:rsidRDefault="00D3697A" w:rsidP="00D3697A">
      <w:pPr>
        <w:pStyle w:val="BulletedList"/>
        <w:rPr>
          <w:lang w:val="en-US"/>
        </w:rPr>
      </w:pPr>
      <w:r w:rsidRPr="00D3697A">
        <w:rPr>
          <w:lang w:val="en-US"/>
        </w:rPr>
        <w:t>Asset management</w:t>
      </w:r>
      <w:r w:rsidR="00E61720">
        <w:rPr>
          <w:lang w:val="en-US"/>
        </w:rPr>
        <w:t>.</w:t>
      </w:r>
    </w:p>
    <w:p w14:paraId="0FD115C9" w14:textId="77777777" w:rsidR="00D3697A" w:rsidRPr="00D3697A" w:rsidRDefault="007827E9" w:rsidP="00D3697A">
      <w:pPr>
        <w:pStyle w:val="BulletedList"/>
        <w:rPr>
          <w:lang w:val="en-US"/>
        </w:rPr>
      </w:pPr>
      <w:r>
        <w:rPr>
          <w:lang w:val="en-US"/>
        </w:rPr>
        <w:t>Facilitating b</w:t>
      </w:r>
      <w:r w:rsidR="00D3697A" w:rsidRPr="00D3697A">
        <w:rPr>
          <w:lang w:val="en-US"/>
        </w:rPr>
        <w:t>usiness continuity</w:t>
      </w:r>
      <w:r w:rsidR="00E61720">
        <w:rPr>
          <w:lang w:val="en-US"/>
        </w:rPr>
        <w:t>.</w:t>
      </w:r>
      <w:r w:rsidR="00D3697A" w:rsidRPr="00D3697A">
        <w:rPr>
          <w:lang w:val="en-US"/>
        </w:rPr>
        <w:t xml:space="preserve"> </w:t>
      </w:r>
    </w:p>
    <w:p w14:paraId="633D7C69" w14:textId="77777777" w:rsidR="00D3697A" w:rsidRDefault="00E61720" w:rsidP="00D3697A">
      <w:pPr>
        <w:pStyle w:val="BulletedList"/>
        <w:rPr>
          <w:lang w:val="en-US"/>
        </w:rPr>
      </w:pPr>
      <w:r>
        <w:rPr>
          <w:lang w:val="en-US"/>
        </w:rPr>
        <w:t>Affording</w:t>
      </w:r>
      <w:r w:rsidR="007827E9">
        <w:rPr>
          <w:lang w:val="en-US"/>
        </w:rPr>
        <w:t xml:space="preserve"> p</w:t>
      </w:r>
      <w:r w:rsidR="00D3697A" w:rsidRPr="00D3697A">
        <w:rPr>
          <w:lang w:val="en-US"/>
        </w:rPr>
        <w:t>rivacy</w:t>
      </w:r>
      <w:r>
        <w:rPr>
          <w:lang w:val="en-US"/>
        </w:rPr>
        <w:t>.</w:t>
      </w:r>
      <w:r w:rsidR="00D3697A" w:rsidRPr="00D3697A">
        <w:rPr>
          <w:lang w:val="en-US"/>
        </w:rPr>
        <w:t xml:space="preserve"> </w:t>
      </w:r>
    </w:p>
    <w:p w14:paraId="48DAB16B" w14:textId="77777777" w:rsidR="0080595B" w:rsidRPr="00D3697A" w:rsidRDefault="0080595B" w:rsidP="00D3697A">
      <w:pPr>
        <w:pStyle w:val="BulletedList"/>
        <w:rPr>
          <w:lang w:val="en-US"/>
        </w:rPr>
      </w:pPr>
      <w:r>
        <w:rPr>
          <w:lang w:val="en-US"/>
        </w:rPr>
        <w:t>Overcoming legal obstacles (such as requirements for residency)</w:t>
      </w:r>
      <w:r w:rsidR="00E61720">
        <w:rPr>
          <w:lang w:val="en-US"/>
        </w:rPr>
        <w:t>.</w:t>
      </w:r>
    </w:p>
    <w:p w14:paraId="08D53795" w14:textId="77777777" w:rsidR="00D3697A" w:rsidRPr="00D3697A" w:rsidRDefault="00D3697A" w:rsidP="00D3697A">
      <w:pPr>
        <w:pStyle w:val="BulletedList"/>
        <w:rPr>
          <w:lang w:val="en-US"/>
        </w:rPr>
      </w:pPr>
      <w:r w:rsidRPr="00D3697A">
        <w:rPr>
          <w:lang w:val="en-US"/>
        </w:rPr>
        <w:t xml:space="preserve">Tax </w:t>
      </w:r>
      <w:r w:rsidR="00A31051">
        <w:rPr>
          <w:lang w:val="en-US"/>
        </w:rPr>
        <w:t xml:space="preserve">planning, and </w:t>
      </w:r>
      <w:proofErr w:type="spellStart"/>
      <w:r w:rsidR="00E61720">
        <w:rPr>
          <w:lang w:val="en-US"/>
        </w:rPr>
        <w:t>optimi</w:t>
      </w:r>
      <w:r w:rsidR="00A31051">
        <w:rPr>
          <w:lang w:val="en-US"/>
        </w:rPr>
        <w:t>s</w:t>
      </w:r>
      <w:r w:rsidR="00E61720">
        <w:rPr>
          <w:lang w:val="en-US"/>
        </w:rPr>
        <w:t>ation</w:t>
      </w:r>
      <w:proofErr w:type="spellEnd"/>
      <w:r w:rsidR="00E61720">
        <w:rPr>
          <w:lang w:val="en-US"/>
        </w:rPr>
        <w:t>.</w:t>
      </w:r>
    </w:p>
    <w:p w14:paraId="76C1FD35" w14:textId="77777777" w:rsidR="00D3697A" w:rsidRPr="00D3697A" w:rsidRDefault="00D3697A" w:rsidP="00D3697A">
      <w:pPr>
        <w:pStyle w:val="BulletedList"/>
        <w:rPr>
          <w:lang w:val="en-US"/>
        </w:rPr>
      </w:pPr>
      <w:r w:rsidRPr="00D3697A">
        <w:rPr>
          <w:lang w:val="en-US"/>
        </w:rPr>
        <w:t>Estate planning and probate</w:t>
      </w:r>
      <w:r w:rsidR="00E61720">
        <w:rPr>
          <w:lang w:val="en-US"/>
        </w:rPr>
        <w:t>.</w:t>
      </w:r>
      <w:r w:rsidRPr="00D3697A">
        <w:rPr>
          <w:lang w:val="en-US"/>
        </w:rPr>
        <w:t xml:space="preserve"> </w:t>
      </w:r>
    </w:p>
    <w:p w14:paraId="0B1BCF4C" w14:textId="77777777" w:rsidR="00D3697A" w:rsidRDefault="001D2BFF" w:rsidP="00BD75D6">
      <w:pPr>
        <w:pStyle w:val="BulletedList"/>
        <w:numPr>
          <w:ilvl w:val="0"/>
          <w:numId w:val="20"/>
        </w:numPr>
        <w:rPr>
          <w:lang w:val="en-US"/>
        </w:rPr>
      </w:pPr>
      <w:r>
        <w:rPr>
          <w:lang w:val="en-US"/>
        </w:rPr>
        <w:t>Holding of an i</w:t>
      </w:r>
      <w:r w:rsidR="00D3697A" w:rsidRPr="00D3697A">
        <w:rPr>
          <w:lang w:val="en-US"/>
        </w:rPr>
        <w:t xml:space="preserve">nvestment commercial vehicle. </w:t>
      </w:r>
    </w:p>
    <w:p w14:paraId="44EC3F98" w14:textId="77777777" w:rsidR="00716D67" w:rsidRPr="00240A30" w:rsidRDefault="00716D67" w:rsidP="00716D67">
      <w:pPr>
        <w:pStyle w:val="Para"/>
        <w:rPr>
          <w:lang w:val="en-US"/>
        </w:rPr>
      </w:pPr>
      <w:r>
        <w:lastRenderedPageBreak/>
        <w:t xml:space="preserve">Certain types of trusts, for </w:t>
      </w:r>
      <w:r w:rsidRPr="00EF224F">
        <w:t>example</w:t>
      </w:r>
      <w:r>
        <w:t xml:space="preserve"> as described in Box 2.1, can also have different </w:t>
      </w:r>
      <w:r w:rsidRPr="00716D67">
        <w:rPr>
          <w:lang w:val="en-US"/>
        </w:rPr>
        <w:t>purposes</w:t>
      </w:r>
      <w:r>
        <w:t xml:space="preserve"> than those described above, thus reinforcing the need to specifically consider and assess </w:t>
      </w:r>
      <w:r w:rsidR="00576DA3">
        <w:t xml:space="preserve">each arrangement’s </w:t>
      </w:r>
      <w:r>
        <w:t>functions and characteristics in line with applicable requirements and ML/TF risks.</w:t>
      </w:r>
    </w:p>
    <w:tbl>
      <w:tblPr>
        <w:tblStyle w:val="TableGrid"/>
        <w:tblpPr w:leftFromText="180" w:rightFromText="180" w:vertAnchor="page" w:horzAnchor="margin" w:tblpY="3571"/>
        <w:tblW w:w="9309" w:type="dxa"/>
        <w:tblBorders>
          <w:top w:val="single" w:sz="18" w:space="0" w:color="4E81BD" w:themeColor="accent1"/>
          <w:left w:val="single" w:sz="18" w:space="0" w:color="4E81BD" w:themeColor="accent1"/>
          <w:bottom w:val="single" w:sz="18" w:space="0" w:color="4E81BD" w:themeColor="accent1"/>
          <w:right w:val="single" w:sz="18" w:space="0" w:color="4E81BD" w:themeColor="accent1"/>
          <w:insideH w:val="single" w:sz="18" w:space="0" w:color="4E81BD" w:themeColor="accent1"/>
          <w:insideV w:val="single" w:sz="18" w:space="0" w:color="4E81BD" w:themeColor="accent1"/>
        </w:tblBorders>
        <w:shd w:val="clear" w:color="auto" w:fill="FFFFFF" w:themeFill="background1"/>
        <w:tblCellMar>
          <w:left w:w="142" w:type="dxa"/>
          <w:bottom w:w="142" w:type="dxa"/>
          <w:right w:w="142" w:type="dxa"/>
        </w:tblCellMar>
        <w:tblLook w:val="04A0" w:firstRow="1" w:lastRow="0" w:firstColumn="1" w:lastColumn="0" w:noHBand="0" w:noVBand="1"/>
      </w:tblPr>
      <w:tblGrid>
        <w:gridCol w:w="9309"/>
      </w:tblGrid>
      <w:tr w:rsidR="00D87E0B" w:rsidRPr="00E2226B" w14:paraId="2AB9BEF0" w14:textId="77777777" w:rsidTr="00D87E0B">
        <w:tc>
          <w:tcPr>
            <w:tcW w:w="9309" w:type="dxa"/>
            <w:tcBorders>
              <w:top w:val="single" w:sz="4" w:space="0" w:color="4E81BD" w:themeColor="accent1"/>
              <w:left w:val="single" w:sz="4" w:space="0" w:color="4E81BD" w:themeColor="accent1"/>
              <w:bottom w:val="single" w:sz="4" w:space="0" w:color="4E81BD" w:themeColor="accent1"/>
              <w:right w:val="single" w:sz="4" w:space="0" w:color="4E81BD" w:themeColor="accent1"/>
            </w:tcBorders>
            <w:shd w:val="clear" w:color="auto" w:fill="EEECE1" w:themeFill="accent3"/>
          </w:tcPr>
          <w:p w14:paraId="365091C5" w14:textId="77777777" w:rsidR="00D87E0B" w:rsidRDefault="00D87E0B" w:rsidP="00D87E0B">
            <w:pPr>
              <w:pStyle w:val="Caption"/>
            </w:pPr>
            <w:bookmarkStart w:id="8" w:name="_Toc145618525"/>
            <w:r w:rsidRPr="00B44A50">
              <w:t>Box</w:t>
            </w:r>
            <w:r>
              <w:t> </w:t>
            </w:r>
            <w:r>
              <w:rPr>
                <w:noProof/>
              </w:rPr>
              <w:fldChar w:fldCharType="begin"/>
            </w:r>
            <w:r>
              <w:rPr>
                <w:noProof/>
              </w:rPr>
              <w:instrText xml:space="preserve"> STYLEREF 1 \s </w:instrText>
            </w:r>
            <w:r>
              <w:rPr>
                <w:noProof/>
              </w:rPr>
              <w:fldChar w:fldCharType="separate"/>
            </w:r>
            <w:r w:rsidR="00E76A87">
              <w:rPr>
                <w:noProof/>
              </w:rPr>
              <w:t>2</w:t>
            </w:r>
            <w:r>
              <w:rPr>
                <w:noProof/>
              </w:rPr>
              <w:fldChar w:fldCharType="end"/>
            </w:r>
            <w:r>
              <w:t>.</w:t>
            </w:r>
            <w:r>
              <w:rPr>
                <w:noProof/>
              </w:rPr>
              <w:fldChar w:fldCharType="begin"/>
            </w:r>
            <w:r>
              <w:rPr>
                <w:noProof/>
              </w:rPr>
              <w:instrText xml:space="preserve"> SEQ Box \* ARABIC \s 1 </w:instrText>
            </w:r>
            <w:r>
              <w:rPr>
                <w:noProof/>
              </w:rPr>
              <w:fldChar w:fldCharType="separate"/>
            </w:r>
            <w:r w:rsidR="00E76A87">
              <w:rPr>
                <w:noProof/>
              </w:rPr>
              <w:t>1</w:t>
            </w:r>
            <w:r>
              <w:rPr>
                <w:noProof/>
              </w:rPr>
              <w:fldChar w:fldCharType="end"/>
            </w:r>
            <w:r>
              <w:t>. Charitable Trusts</w:t>
            </w:r>
          </w:p>
          <w:p w14:paraId="4BF50D74" w14:textId="77777777" w:rsidR="00D87E0B" w:rsidRPr="00BA0796" w:rsidRDefault="00D87E0B" w:rsidP="00D87E0B">
            <w:pPr>
              <w:pStyle w:val="Para"/>
              <w:numPr>
                <w:ilvl w:val="0"/>
                <w:numId w:val="0"/>
              </w:numPr>
              <w:ind w:left="680"/>
              <w:rPr>
                <w:vanish/>
                <w:lang w:val="en-US"/>
                <w:specVanish/>
              </w:rPr>
            </w:pPr>
            <w:r>
              <w:rPr>
                <w:lang w:val="en-US"/>
              </w:rPr>
              <w:t>Charitable t</w:t>
            </w:r>
            <w:r w:rsidRPr="00BA0796">
              <w:rPr>
                <w:lang w:val="en-US"/>
              </w:rPr>
              <w:t xml:space="preserve">rusts can </w:t>
            </w:r>
            <w:r w:rsidRPr="00BA0796">
              <w:t>be</w:t>
            </w:r>
            <w:r w:rsidRPr="00BA0796">
              <w:rPr>
                <w:lang w:val="en-US"/>
              </w:rPr>
              <w:t xml:space="preserve"> set up for an interest to be directed at a particular</w:t>
            </w:r>
            <w:r>
              <w:rPr>
                <w:lang w:val="en-US"/>
              </w:rPr>
              <w:t xml:space="preserve"> charitable</w:t>
            </w:r>
            <w:r w:rsidRPr="00BA0796">
              <w:rPr>
                <w:lang w:val="en-US"/>
              </w:rPr>
              <w:t xml:space="preserve"> purpose, rather than a group of people. As such, there are no identifiable beneficiaries. A charitable trust is settled for a ‘purpose’ which is usually a category of purposes falling within a special test established by the English case of </w:t>
            </w:r>
            <w:proofErr w:type="spellStart"/>
            <w:r w:rsidRPr="00BA0796">
              <w:rPr>
                <w:i/>
                <w:lang w:val="en-US"/>
              </w:rPr>
              <w:t>Pemsel</w:t>
            </w:r>
            <w:proofErr w:type="spellEnd"/>
            <w:r w:rsidRPr="003F3747">
              <w:rPr>
                <w:iCs/>
                <w:lang w:val="en-US"/>
              </w:rPr>
              <w:t>.</w:t>
            </w:r>
            <w:r w:rsidRPr="003F3747">
              <w:rPr>
                <w:rStyle w:val="FootnoteReference"/>
                <w:iCs/>
                <w:lang w:val="en-US"/>
              </w:rPr>
              <w:footnoteReference w:id="5"/>
            </w:r>
            <w:r w:rsidRPr="00BA0796">
              <w:rPr>
                <w:lang w:val="en-US"/>
              </w:rPr>
              <w:t xml:space="preserve"> It can include several different types of charitable purposes or focus on a particular one (e.g., research, education). In such instances, it can </w:t>
            </w:r>
            <w:r>
              <w:rPr>
                <w:lang w:val="en-US"/>
              </w:rPr>
              <w:t>operate</w:t>
            </w:r>
            <w:r w:rsidRPr="00BA0796">
              <w:rPr>
                <w:lang w:val="en-US"/>
              </w:rPr>
              <w:t xml:space="preserve"> like a corporation created for a specified charitable purpose to hold the assets.</w:t>
            </w:r>
            <w:r w:rsidRPr="00BA0796">
              <w:rPr>
                <w:vanish/>
                <w:lang w:val="en-US"/>
                <w:specVanish/>
              </w:rPr>
              <w:t xml:space="preserve"> </w:t>
            </w:r>
          </w:p>
          <w:p w14:paraId="131201A5" w14:textId="77777777" w:rsidR="00D87E0B" w:rsidRPr="007811AC" w:rsidRDefault="00D87E0B" w:rsidP="00D87E0B">
            <w:pPr>
              <w:pStyle w:val="Para"/>
              <w:numPr>
                <w:ilvl w:val="0"/>
                <w:numId w:val="0"/>
              </w:numPr>
              <w:ind w:left="680"/>
            </w:pPr>
            <w:r w:rsidRPr="002F7526">
              <w:rPr>
                <w:lang w:val="en-US"/>
              </w:rPr>
              <w:t>While</w:t>
            </w:r>
            <w:r w:rsidRPr="007811AC">
              <w:t xml:space="preserve"> </w:t>
            </w:r>
            <w:r>
              <w:t>they are</w:t>
            </w:r>
            <w:r w:rsidRPr="007811AC">
              <w:t xml:space="preserve"> set up in ways that are comparable to express trusts, charitable trusts have </w:t>
            </w:r>
            <w:proofErr w:type="gramStart"/>
            <w:r w:rsidRPr="007811AC">
              <w:t>a number of</w:t>
            </w:r>
            <w:proofErr w:type="gramEnd"/>
            <w:r w:rsidRPr="007811AC">
              <w:t xml:space="preserve"> distinct features:</w:t>
            </w:r>
          </w:p>
          <w:p w14:paraId="34D5DD00" w14:textId="77777777" w:rsidR="00D87E0B" w:rsidRPr="002F7526" w:rsidRDefault="00D87E0B" w:rsidP="00D87E0B">
            <w:pPr>
              <w:pStyle w:val="BulletedList"/>
              <w:ind w:left="1410"/>
            </w:pPr>
            <w:r w:rsidRPr="002F7526">
              <w:rPr>
                <w:b/>
              </w:rPr>
              <w:t>Charitable purpose:</w:t>
            </w:r>
            <w:r w:rsidRPr="002F7526">
              <w:t xml:space="preserve"> </w:t>
            </w:r>
            <w:r w:rsidRPr="002F7526">
              <w:rPr>
                <w:lang w:val="en-IE"/>
              </w:rPr>
              <w:t xml:space="preserve">all charitable trusts are created to benefit the public in some way. </w:t>
            </w:r>
          </w:p>
          <w:p w14:paraId="0B8C1C79" w14:textId="77777777" w:rsidR="00D87E0B" w:rsidRPr="007811AC" w:rsidRDefault="00D87E0B" w:rsidP="00D87E0B">
            <w:pPr>
              <w:pStyle w:val="BulletedList"/>
              <w:ind w:left="1410"/>
            </w:pPr>
            <w:r w:rsidRPr="007811AC">
              <w:rPr>
                <w:b/>
                <w:lang w:val="en-IE"/>
              </w:rPr>
              <w:t>Indefinite beneficiaries:</w:t>
            </w:r>
            <w:r w:rsidRPr="007811AC">
              <w:rPr>
                <w:lang w:val="en-IE"/>
              </w:rPr>
              <w:t xml:space="preserve"> As no individual beneficiary can lay claims to the trust, the charitable trust is enforced by the Attorney General (or equivalent) of the state in which the trust is located</w:t>
            </w:r>
            <w:r>
              <w:rPr>
                <w:lang w:val="en-IE"/>
              </w:rPr>
              <w:t xml:space="preserve"> or enforced by a Court in the jurisdiction the trust is located</w:t>
            </w:r>
            <w:r w:rsidRPr="007811AC">
              <w:rPr>
                <w:lang w:val="en-IE"/>
              </w:rPr>
              <w:t>.</w:t>
            </w:r>
          </w:p>
          <w:p w14:paraId="192D0EC6" w14:textId="77777777" w:rsidR="00D87E0B" w:rsidRPr="0066793F" w:rsidRDefault="00D87E0B" w:rsidP="00D87E0B">
            <w:pPr>
              <w:pStyle w:val="BulletedList"/>
              <w:ind w:left="1410"/>
            </w:pPr>
            <w:r w:rsidRPr="007811AC">
              <w:rPr>
                <w:b/>
                <w:lang w:val="en-IE"/>
              </w:rPr>
              <w:t>Duration:</w:t>
            </w:r>
            <w:r w:rsidRPr="007811AC">
              <w:rPr>
                <w:lang w:val="en-IE"/>
              </w:rPr>
              <w:t xml:space="preserve"> The Rule Against Perpetuities does not apply to charitable trusts, which may continue as long as the charitable purpose exists.</w:t>
            </w:r>
          </w:p>
          <w:p w14:paraId="709C79F9" w14:textId="77777777" w:rsidR="00D87E0B" w:rsidRPr="007811AC" w:rsidRDefault="00D87E0B" w:rsidP="00D87E0B">
            <w:pPr>
              <w:pStyle w:val="Para"/>
              <w:numPr>
                <w:ilvl w:val="0"/>
                <w:numId w:val="0"/>
              </w:numPr>
              <w:ind w:left="680"/>
            </w:pPr>
            <w:r w:rsidRPr="007811AC">
              <w:t xml:space="preserve">While </w:t>
            </w:r>
            <w:r>
              <w:t>pursuing</w:t>
            </w:r>
            <w:r w:rsidRPr="007811AC">
              <w:t xml:space="preserve"> public good objectives sets charitable trusts (and similar legal arrangements such as </w:t>
            </w:r>
            <w:r w:rsidRPr="007811AC">
              <w:rPr>
                <w:i/>
              </w:rPr>
              <w:t>Waqf</w:t>
            </w:r>
            <w:r w:rsidRPr="007811AC">
              <w:t xml:space="preserve">) apart </w:t>
            </w:r>
            <w:r>
              <w:t>from other types of trusts</w:t>
            </w:r>
            <w:r w:rsidRPr="007811AC">
              <w:t xml:space="preserve">, it is not possible to conclude in absolute terms that they present a lower risk. </w:t>
            </w:r>
            <w:r>
              <w:t>Indeed, some of their features may create an enhanced risk of misuse for ML/TF.</w:t>
            </w:r>
          </w:p>
          <w:p w14:paraId="3E004091" w14:textId="77777777" w:rsidR="00D87E0B" w:rsidRPr="00775FF9" w:rsidRDefault="00D87E0B" w:rsidP="00D87E0B">
            <w:pPr>
              <w:pStyle w:val="Para"/>
              <w:numPr>
                <w:ilvl w:val="0"/>
                <w:numId w:val="0"/>
              </w:numPr>
              <w:ind w:left="680"/>
            </w:pPr>
            <w:r w:rsidRPr="007811AC">
              <w:t xml:space="preserve">The above shows that </w:t>
            </w:r>
            <w:r w:rsidRPr="00CB508D">
              <w:t xml:space="preserve">a priori </w:t>
            </w:r>
            <w:r w:rsidRPr="007811AC">
              <w:t>conclusions cannot be drawn on specific (categories) of legal arrangements, and that any assessment needs to be anchored to the legal framework of a country and its risk, context and materiality.</w:t>
            </w:r>
          </w:p>
        </w:tc>
      </w:tr>
    </w:tbl>
    <w:p w14:paraId="32DEC2DF" w14:textId="77777777" w:rsidR="003D32AD" w:rsidRPr="00694D93" w:rsidRDefault="00E61720" w:rsidP="00BD75D6">
      <w:pPr>
        <w:pStyle w:val="Heading2"/>
      </w:pPr>
      <w:r>
        <w:t xml:space="preserve"> </w:t>
      </w:r>
      <w:bookmarkStart w:id="9" w:name="_Toc149217162"/>
      <w:r w:rsidR="003D32AD">
        <w:t xml:space="preserve">Identifying legal </w:t>
      </w:r>
      <w:r w:rsidR="003D32AD" w:rsidRPr="00BD75D6">
        <w:t>arrangements</w:t>
      </w:r>
      <w:r w:rsidR="003D32AD">
        <w:t xml:space="preserve"> similar to express trusts</w:t>
      </w:r>
      <w:bookmarkEnd w:id="8"/>
      <w:bookmarkEnd w:id="9"/>
    </w:p>
    <w:p w14:paraId="26E6BC01" w14:textId="77777777" w:rsidR="00716D67" w:rsidRDefault="003D32AD" w:rsidP="00716D67">
      <w:pPr>
        <w:pStyle w:val="Para"/>
      </w:pPr>
      <w:r w:rsidRPr="004F470D">
        <w:t xml:space="preserve">The FATF Glossary defines legal arrangements as express trusts and other similar </w:t>
      </w:r>
      <w:r w:rsidRPr="004F470D">
        <w:rPr>
          <w:lang w:val="en-US"/>
        </w:rPr>
        <w:t>legal</w:t>
      </w:r>
      <w:r w:rsidRPr="004F470D">
        <w:t xml:space="preserve"> arrangements. Examples of other similar </w:t>
      </w:r>
      <w:r w:rsidR="00CF2E48">
        <w:t xml:space="preserve">legal </w:t>
      </w:r>
      <w:r w:rsidRPr="004F470D">
        <w:t xml:space="preserve">arrangements may include but are not limited to </w:t>
      </w:r>
      <w:proofErr w:type="spellStart"/>
      <w:r w:rsidRPr="005C63A2">
        <w:rPr>
          <w:i/>
          <w:iCs/>
        </w:rPr>
        <w:t>fiducie</w:t>
      </w:r>
      <w:proofErr w:type="spellEnd"/>
      <w:r w:rsidRPr="004F470D">
        <w:t xml:space="preserve">, certain types of </w:t>
      </w:r>
      <w:proofErr w:type="spellStart"/>
      <w:r w:rsidRPr="005C63A2">
        <w:rPr>
          <w:i/>
          <w:iCs/>
        </w:rPr>
        <w:t>Treuhand</w:t>
      </w:r>
      <w:proofErr w:type="spellEnd"/>
      <w:r w:rsidRPr="004F470D">
        <w:t xml:space="preserve">, </w:t>
      </w:r>
      <w:proofErr w:type="spellStart"/>
      <w:r w:rsidRPr="005C63A2">
        <w:rPr>
          <w:i/>
          <w:iCs/>
        </w:rPr>
        <w:t>fideicomiso</w:t>
      </w:r>
      <w:proofErr w:type="spellEnd"/>
      <w:r w:rsidRPr="004F470D">
        <w:t xml:space="preserve">, </w:t>
      </w:r>
      <w:r w:rsidR="00510497">
        <w:t xml:space="preserve">and </w:t>
      </w:r>
      <w:r w:rsidRPr="005C63A2">
        <w:rPr>
          <w:i/>
          <w:iCs/>
        </w:rPr>
        <w:t>Waqf</w:t>
      </w:r>
      <w:r w:rsidR="005C63A2">
        <w:t>.</w:t>
      </w:r>
      <w:r w:rsidR="00716D67" w:rsidRPr="004F470D">
        <w:t xml:space="preserve"> </w:t>
      </w:r>
    </w:p>
    <w:p w14:paraId="7CC747C7" w14:textId="77777777" w:rsidR="00716D67" w:rsidRDefault="00716D67" w:rsidP="00716D67">
      <w:pPr>
        <w:pStyle w:val="Para"/>
      </w:pPr>
      <w:r>
        <w:t>There is no universally accepted definition of what constitutes a similar legal arrangement to a trust</w:t>
      </w:r>
      <w:r w:rsidR="0045007F">
        <w:t>. Assessing</w:t>
      </w:r>
      <w:r w:rsidR="00510497">
        <w:t xml:space="preserve"> </w:t>
      </w:r>
      <w:r>
        <w:t>whether a legal arrangement is similar to an express trust requires a comprehensive and contextual analysis of various factors. The similarity of a legal arrangement with that of an express trust</w:t>
      </w:r>
      <w:r w:rsidR="0045007F">
        <w:t xml:space="preserve"> </w:t>
      </w:r>
      <w:r>
        <w:t>may be assessed by having regard to Article 2 of the Hague Convention on the law applicable to trusts and their recognition on the basis of whether legal arrangements have a similar structure or perform a similar</w:t>
      </w:r>
      <w:r w:rsidR="00A31051">
        <w:t xml:space="preserve"> function</w:t>
      </w:r>
      <w:r>
        <w:t xml:space="preserve"> to an express trust. It should be considered that similar legal arrangements may exist regardless </w:t>
      </w:r>
      <w:r>
        <w:lastRenderedPageBreak/>
        <w:t>of whether a country is a party to the said Convention or whether countries have recognised or regulated express trusts.</w:t>
      </w:r>
    </w:p>
    <w:p w14:paraId="0419A032" w14:textId="77777777" w:rsidR="00716D67" w:rsidRDefault="00716D67" w:rsidP="00BD75D6">
      <w:pPr>
        <w:pStyle w:val="Para"/>
        <w:numPr>
          <w:ilvl w:val="0"/>
          <w:numId w:val="24"/>
        </w:numPr>
      </w:pPr>
      <w:r>
        <w:t xml:space="preserve">Since trusts </w:t>
      </w:r>
      <w:r w:rsidR="00BE436B">
        <w:t xml:space="preserve">were </w:t>
      </w:r>
      <w:r>
        <w:t xml:space="preserve">initially developed under common law systems, </w:t>
      </w:r>
      <w:r w:rsidR="007746D6">
        <w:t>s</w:t>
      </w:r>
      <w:r>
        <w:t>imilar legal arrangements developed in civil law contexts are not expected to replicate the trust concept identically. This</w:t>
      </w:r>
      <w:r w:rsidR="00163F1A">
        <w:t>,</w:t>
      </w:r>
      <w:r>
        <w:t xml:space="preserve"> however</w:t>
      </w:r>
      <w:r w:rsidR="00163F1A">
        <w:t>,</w:t>
      </w:r>
      <w:r>
        <w:t xml:space="preserve"> does not mean that countries may be exempt from assessing their consideration under R.25 and whether trusts and/or similar legal arrangements are contemplated for in and governed under their law. Legal arrangements evolve to fit the legal context in which they operate. </w:t>
      </w:r>
    </w:p>
    <w:p w14:paraId="66235E3A" w14:textId="77777777" w:rsidR="00981543" w:rsidRDefault="00981543" w:rsidP="00981543">
      <w:pPr>
        <w:pStyle w:val="Para"/>
      </w:pPr>
      <w:r>
        <w:t xml:space="preserve">Like express trusts, similar legal arrangements may enable a functional separation of ownership into two parts: legal control of assets, and benefit from these assets, </w:t>
      </w:r>
      <w:r w:rsidR="00FB7576">
        <w:t>held</w:t>
      </w:r>
      <w:r>
        <w:t xml:space="preserve"> by different persons. S</w:t>
      </w:r>
      <w:r w:rsidRPr="00FD0A28">
        <w:t xml:space="preserve">imilar legal arrangements may also provide for a mechanism where a </w:t>
      </w:r>
      <w:r w:rsidRPr="00981543">
        <w:t>person</w:t>
      </w:r>
      <w:r w:rsidRPr="00FD0A28">
        <w:t xml:space="preserve"> entrusts assets to another person who holds the title to it or </w:t>
      </w:r>
      <w:r w:rsidRPr="00A1306E">
        <w:t>manages</w:t>
      </w:r>
      <w:r w:rsidRPr="00FD0A28">
        <w:t xml:space="preserve"> it for the benefit of one or more other persons or for a specific purpose.</w:t>
      </w:r>
      <w:r>
        <w:t xml:space="preserve"> T</w:t>
      </w:r>
      <w:r w:rsidRPr="00FD0A28">
        <w:t xml:space="preserve">hey may </w:t>
      </w:r>
      <w:r>
        <w:t xml:space="preserve">therefore </w:t>
      </w:r>
      <w:r w:rsidRPr="00FD0A28">
        <w:t xml:space="preserve">create a fiduciary </w:t>
      </w:r>
      <w:r>
        <w:t>obligation</w:t>
      </w:r>
      <w:r w:rsidRPr="00FD0A28">
        <w:rPr>
          <w:rStyle w:val="FootnoteReference"/>
        </w:rPr>
        <w:footnoteReference w:id="6"/>
      </w:r>
      <w:r w:rsidRPr="00FD0A28">
        <w:t xml:space="preserve"> that can be </w:t>
      </w:r>
      <w:r>
        <w:t xml:space="preserve">likened </w:t>
      </w:r>
      <w:r w:rsidRPr="00FD0A28">
        <w:t xml:space="preserve">to the one </w:t>
      </w:r>
      <w:r>
        <w:t>imposed on</w:t>
      </w:r>
      <w:r w:rsidRPr="00FD0A28">
        <w:t xml:space="preserve"> the </w:t>
      </w:r>
      <w:r>
        <w:t>trustee of</w:t>
      </w:r>
      <w:r w:rsidRPr="00FD0A28">
        <w:t xml:space="preserve"> a trust.</w:t>
      </w:r>
    </w:p>
    <w:p w14:paraId="75E2BC85" w14:textId="77777777" w:rsidR="0080595B" w:rsidRDefault="004F470D" w:rsidP="00A1306E">
      <w:pPr>
        <w:pStyle w:val="Para"/>
      </w:pPr>
      <w:r w:rsidRPr="00FD0A28">
        <w:t>Countries may follow several steps to identify</w:t>
      </w:r>
      <w:r w:rsidR="00E075A8">
        <w:t xml:space="preserve"> similar</w:t>
      </w:r>
      <w:r w:rsidRPr="00FD0A28">
        <w:t xml:space="preserve"> legal arrangements within their jurisdiction</w:t>
      </w:r>
      <w:r w:rsidR="0080595B">
        <w:t>:</w:t>
      </w:r>
      <w:r w:rsidRPr="00FD0A28">
        <w:t xml:space="preserve"> </w:t>
      </w:r>
    </w:p>
    <w:p w14:paraId="16673846" w14:textId="77777777" w:rsidR="004F470D" w:rsidRPr="006A3B42" w:rsidRDefault="0080595B" w:rsidP="007746D6">
      <w:pPr>
        <w:pStyle w:val="BulletedList"/>
      </w:pPr>
      <w:r>
        <w:t>C</w:t>
      </w:r>
      <w:r w:rsidR="004F470D" w:rsidRPr="00FD0A28">
        <w:t xml:space="preserve">ountries should assess whether their legislation explicitly provides for express trusts and/or similar legal arrangements. </w:t>
      </w:r>
      <w:r w:rsidR="00D827E8">
        <w:t>This determination</w:t>
      </w:r>
      <w:r w:rsidR="004F470D" w:rsidRPr="00FD0A28">
        <w:t xml:space="preserve"> </w:t>
      </w:r>
      <w:r w:rsidR="00D827E8">
        <w:t>will also require the consideration of</w:t>
      </w:r>
      <w:r w:rsidR="004F470D" w:rsidRPr="00FD0A28">
        <w:t xml:space="preserve"> similarity, where countries are </w:t>
      </w:r>
      <w:r w:rsidR="004F470D" w:rsidRPr="00A1306E">
        <w:t>encouraged</w:t>
      </w:r>
      <w:r w:rsidR="004F470D" w:rsidRPr="00FD0A28">
        <w:t xml:space="preserve"> to </w:t>
      </w:r>
      <w:r w:rsidR="004F470D" w:rsidRPr="006A3B42">
        <w:t>involve contract law experts</w:t>
      </w:r>
      <w:r w:rsidR="00D827E8">
        <w:t xml:space="preserve"> </w:t>
      </w:r>
      <w:r w:rsidR="004F470D">
        <w:t xml:space="preserve">and </w:t>
      </w:r>
      <w:r w:rsidR="00D827E8">
        <w:t xml:space="preserve">other </w:t>
      </w:r>
      <w:r w:rsidR="004F470D" w:rsidRPr="006A3B42">
        <w:t>trust practitioners.</w:t>
      </w:r>
    </w:p>
    <w:p w14:paraId="10E695F2" w14:textId="77777777" w:rsidR="00C62697" w:rsidRPr="00100471" w:rsidRDefault="00C62697" w:rsidP="00100471">
      <w:pPr>
        <w:pStyle w:val="BulletedList"/>
      </w:pPr>
      <w:r w:rsidRPr="00100471">
        <w:t>It may also be appropriate to assess the legislator</w:t>
      </w:r>
      <w:r w:rsidR="00B32BBB">
        <w:t>’s intention</w:t>
      </w:r>
      <w:r w:rsidRPr="00100471">
        <w:t xml:space="preserve"> in providing for these legal arrangements (e.g., in some cases the intention is specifically to provide, within a civil law jurisdiction, an alternative to express trusts recognised under the Hague Convention in common law countries).</w:t>
      </w:r>
    </w:p>
    <w:p w14:paraId="79132772" w14:textId="77777777" w:rsidR="00C62697" w:rsidRPr="00100471" w:rsidRDefault="00C62697" w:rsidP="00222A48">
      <w:pPr>
        <w:pStyle w:val="BulletedList"/>
      </w:pPr>
      <w:r w:rsidRPr="00100471">
        <w:t xml:space="preserve">Countries should consider the structure and purpose of all other legal arrangements in their jurisdiction. </w:t>
      </w:r>
      <w:r w:rsidR="00222A48" w:rsidRPr="00100471">
        <w:t xml:space="preserve">To this end, it may be useful to assess relevant case law (law established by following decisions made by judges in earlier cases </w:t>
      </w:r>
      <w:r w:rsidR="007C489D">
        <w:t>–</w:t>
      </w:r>
      <w:r w:rsidR="00222A48" w:rsidRPr="00100471">
        <w:t xml:space="preserve"> legal precedents) resulting in the recognition of certain arrangements in the country. For example, certain arrangements between individuals developing within the scope of the freedom of contracts may have been recognised </w:t>
      </w:r>
      <w:r w:rsidR="00B32BBB">
        <w:t>without</w:t>
      </w:r>
      <w:r w:rsidR="00222A48" w:rsidRPr="00100471">
        <w:t xml:space="preserve"> explicit regulation. </w:t>
      </w:r>
    </w:p>
    <w:p w14:paraId="6EDD4C01" w14:textId="77777777" w:rsidR="00100471" w:rsidRPr="00100471" w:rsidRDefault="00100471" w:rsidP="00100471">
      <w:pPr>
        <w:pStyle w:val="Title3"/>
      </w:pPr>
      <w:r>
        <w:t>Scoping Issues</w:t>
      </w:r>
    </w:p>
    <w:p w14:paraId="3AB9AB7D" w14:textId="77777777" w:rsidR="00222A48" w:rsidRPr="00222A48" w:rsidRDefault="003F194D" w:rsidP="00222A48">
      <w:pPr>
        <w:pStyle w:val="Para"/>
        <w:rPr>
          <w:b/>
          <w:bCs/>
        </w:rPr>
      </w:pPr>
      <w:r w:rsidRPr="00FD0A28">
        <w:t xml:space="preserve">When assessing </w:t>
      </w:r>
      <w:r w:rsidRPr="00A1306E">
        <w:t>the</w:t>
      </w:r>
      <w:r w:rsidRPr="00FD0A28">
        <w:t xml:space="preserve"> similarity, it is important that both the structure and the function are assessed.</w:t>
      </w:r>
      <w:r w:rsidRPr="00FD0A28">
        <w:rPr>
          <w:rStyle w:val="FootnoteReference"/>
        </w:rPr>
        <w:t xml:space="preserve"> </w:t>
      </w:r>
      <w:r w:rsidRPr="00FD0A28">
        <w:t xml:space="preserve">In practice, countries should assess all </w:t>
      </w:r>
      <w:r>
        <w:t>categories</w:t>
      </w:r>
      <w:r w:rsidRPr="00FD0A28">
        <w:t xml:space="preserve"> of legal </w:t>
      </w:r>
      <w:r>
        <w:t>instruments covered under their law</w:t>
      </w:r>
      <w:r w:rsidRPr="00FD0A28">
        <w:t xml:space="preserve"> to determine whether they qualify as a legal arrangement </w:t>
      </w:r>
      <w:r w:rsidR="00FB7576">
        <w:t>because their</w:t>
      </w:r>
      <w:r w:rsidRPr="00FD0A28">
        <w:t xml:space="preserve"> structure or function </w:t>
      </w:r>
      <w:r w:rsidR="00FB7576">
        <w:t xml:space="preserve">is similar </w:t>
      </w:r>
      <w:r w:rsidRPr="00FD0A28">
        <w:t xml:space="preserve">to an express trust. </w:t>
      </w:r>
      <w:r w:rsidRPr="00EF224F">
        <w:t xml:space="preserve">In addition to those </w:t>
      </w:r>
      <w:r w:rsidR="00E945F4">
        <w:t>covered</w:t>
      </w:r>
      <w:r w:rsidRPr="00EF224F">
        <w:t xml:space="preserve"> in the FATF Glossary, instruments wh</w:t>
      </w:r>
      <w:r>
        <w:t>ich</w:t>
      </w:r>
      <w:r w:rsidRPr="00EF224F">
        <w:t xml:space="preserve"> countries may determine </w:t>
      </w:r>
      <w:r>
        <w:t xml:space="preserve">to be legal arrangements </w:t>
      </w:r>
      <w:r w:rsidRPr="00EF224F">
        <w:t>include certain types of nominee arrangement</w:t>
      </w:r>
      <w:r w:rsidR="00AD0C3A">
        <w:t>s</w:t>
      </w:r>
      <w:r w:rsidRPr="00EF224F">
        <w:t>, investment vehicles</w:t>
      </w:r>
      <w:r>
        <w:t xml:space="preserve">, </w:t>
      </w:r>
      <w:r w:rsidRPr="00EF224F">
        <w:t>and foundations</w:t>
      </w:r>
      <w:r>
        <w:t xml:space="preserve">. </w:t>
      </w:r>
    </w:p>
    <w:p w14:paraId="7FF4AE40" w14:textId="77777777" w:rsidR="003F194D" w:rsidRPr="00240A30" w:rsidRDefault="003F194D" w:rsidP="00222A48">
      <w:pPr>
        <w:pStyle w:val="Para"/>
        <w:rPr>
          <w:b/>
          <w:bCs/>
        </w:rPr>
      </w:pPr>
      <w:r>
        <w:t>Further</w:t>
      </w:r>
      <w:r w:rsidRPr="00FD0A28">
        <w:t xml:space="preserve">, it </w:t>
      </w:r>
      <w:r w:rsidRPr="00222A48">
        <w:t>may</w:t>
      </w:r>
      <w:r w:rsidRPr="00FD0A28">
        <w:t xml:space="preserve"> be useful for countries to indicate whether the assessment concludes that some types of legal </w:t>
      </w:r>
      <w:r>
        <w:t xml:space="preserve">instruments </w:t>
      </w:r>
      <w:r w:rsidRPr="00FD0A28">
        <w:t xml:space="preserve">are not similar to an express trust and </w:t>
      </w:r>
      <w:r>
        <w:t>the rationale behind this determination</w:t>
      </w:r>
      <w:r w:rsidRPr="00FD0A28">
        <w:t>.</w:t>
      </w:r>
      <w:r>
        <w:t xml:space="preserve"> </w:t>
      </w:r>
    </w:p>
    <w:p w14:paraId="68CDD744" w14:textId="77777777" w:rsidR="00CE7470" w:rsidRPr="00240A30" w:rsidRDefault="00CE7470" w:rsidP="00BD75D6">
      <w:pPr>
        <w:pStyle w:val="Para"/>
        <w:numPr>
          <w:ilvl w:val="0"/>
          <w:numId w:val="21"/>
        </w:numPr>
      </w:pPr>
      <w:r>
        <w:lastRenderedPageBreak/>
        <w:t xml:space="preserve">For example, while foundations are mentioned in the FATF Glossary as legal persons, </w:t>
      </w:r>
      <w:r w:rsidR="00100471">
        <w:t>they may</w:t>
      </w:r>
      <w:r>
        <w:t xml:space="preserve"> have a structure and functions similar to a trust.</w:t>
      </w:r>
      <w:r>
        <w:rPr>
          <w:rStyle w:val="FootnoteReference"/>
        </w:rPr>
        <w:footnoteReference w:id="7"/>
      </w:r>
      <w:r>
        <w:t xml:space="preserve"> In this context, the FATF Standards grant sufficient flexibility to countries in setting out which rule – in line with </w:t>
      </w:r>
      <w:r w:rsidR="00E945F4">
        <w:t>R.</w:t>
      </w:r>
      <w:r>
        <w:t xml:space="preserve">24 or </w:t>
      </w:r>
      <w:r w:rsidR="00222A48">
        <w:t>R.</w:t>
      </w:r>
      <w:r>
        <w:t xml:space="preserve">25 </w:t>
      </w:r>
      <w:r w:rsidR="0055228D">
        <w:t>–</w:t>
      </w:r>
      <w:r>
        <w:t xml:space="preserve"> </w:t>
      </w:r>
      <w:r w:rsidR="0055228D">
        <w:t>can be used to determine the beneficial owner depending on the instrument’s structure and function</w:t>
      </w:r>
      <w:r w:rsidR="00AA790F">
        <w:t>, provided that it is included under either R.24 or R.25</w:t>
      </w:r>
      <w:r w:rsidR="0055228D">
        <w:t>.</w:t>
      </w:r>
    </w:p>
    <w:p w14:paraId="3BC83C05" w14:textId="77777777" w:rsidR="003D32AD" w:rsidRDefault="00945A96" w:rsidP="00BA6A0A">
      <w:pPr>
        <w:pStyle w:val="Heading2"/>
      </w:pPr>
      <w:bookmarkStart w:id="10" w:name="_Toc149217163"/>
      <w:r>
        <w:t>Parties</w:t>
      </w:r>
      <w:r w:rsidR="00C62697">
        <w:t xml:space="preserve"> to a trust</w:t>
      </w:r>
      <w:bookmarkEnd w:id="10"/>
    </w:p>
    <w:p w14:paraId="0BB37060" w14:textId="77777777" w:rsidR="00945A96" w:rsidRPr="00677B8F" w:rsidRDefault="00C62697" w:rsidP="00EF224F">
      <w:pPr>
        <w:pStyle w:val="Para"/>
      </w:pPr>
      <w:r>
        <w:t>Trusts may include a range of parties, including</w:t>
      </w:r>
      <w:r w:rsidR="00945A96">
        <w:t>: (</w:t>
      </w:r>
      <w:proofErr w:type="spellStart"/>
      <w:r w:rsidR="00945A96">
        <w:t>i</w:t>
      </w:r>
      <w:proofErr w:type="spellEnd"/>
      <w:r w:rsidR="00945A96">
        <w:t>) the settlor(s); (ii) the trustee(s); (iii) the protector(s) (if any); (iv) each beneficiary, or where applicable, the class</w:t>
      </w:r>
      <w:r w:rsidR="00B965E1">
        <w:t>(es)</w:t>
      </w:r>
      <w:r w:rsidR="00945A96">
        <w:t xml:space="preserve"> of beneficiaries and objects of a power; and (v) any other natural person(s) exercising ultimate effective control over the arrangement</w:t>
      </w:r>
      <w:r w:rsidR="00B77452">
        <w:t>.</w:t>
      </w:r>
      <w:r w:rsidR="00945A96">
        <w:rPr>
          <w:rStyle w:val="FootnoteReference"/>
        </w:rPr>
        <w:footnoteReference w:id="8"/>
      </w:r>
      <w:r w:rsidR="00945A96">
        <w:t xml:space="preserve"> </w:t>
      </w:r>
    </w:p>
    <w:p w14:paraId="7DEABD35" w14:textId="77777777" w:rsidR="00100471" w:rsidRPr="00EF224F" w:rsidRDefault="00100471" w:rsidP="00100471">
      <w:pPr>
        <w:pStyle w:val="Para"/>
      </w:pPr>
      <w:r>
        <w:t>Countries should require trustees to</w:t>
      </w:r>
      <w:r w:rsidRPr="006355BD">
        <w:t xml:space="preserve"> </w:t>
      </w:r>
      <w:r>
        <w:t>obtain and hold adequate, accurate, and up-to-date beneficial ownership information of the parties to the trust listed above. It should be noted that in some cases the parties to the trusts may be legal persons or arrangements. Where the trustee or any other party to the legal arrangement is a legal person or arrangement, the trustee or equivalent should also obtain and hold adequate, accurate, and up-to-date beneficial ownership information of that legal person or arrangement. In those cases,</w:t>
      </w:r>
      <w:r w:rsidRPr="00EF224F">
        <w:t xml:space="preserve"> the trustee should obtain sufficient information </w:t>
      </w:r>
      <w:r w:rsidR="00B965E1">
        <w:t>on</w:t>
      </w:r>
      <w:r w:rsidRPr="00EF224F">
        <w:t xml:space="preserve"> who is </w:t>
      </w:r>
      <w:r w:rsidR="00B965E1">
        <w:t xml:space="preserve">the </w:t>
      </w:r>
      <w:r w:rsidRPr="00EF224F">
        <w:t xml:space="preserve">beneficial owner of the </w:t>
      </w:r>
      <w:r>
        <w:t xml:space="preserve">legal person or arrangement which is a trust </w:t>
      </w:r>
      <w:r w:rsidR="00222A48">
        <w:t>party and</w:t>
      </w:r>
      <w:r w:rsidRPr="00EF224F">
        <w:t xml:space="preserve"> take reasonable measure</w:t>
      </w:r>
      <w:r w:rsidR="00B965E1">
        <w:t>s</w:t>
      </w:r>
      <w:r w:rsidRPr="00EF224F">
        <w:t xml:space="preserve"> to verify </w:t>
      </w:r>
      <w:r w:rsidR="00B965E1">
        <w:t>its</w:t>
      </w:r>
      <w:r w:rsidR="00B965E1" w:rsidRPr="00EF224F">
        <w:t xml:space="preserve"> </w:t>
      </w:r>
      <w:r w:rsidRPr="00EF224F">
        <w:t>identity.</w:t>
      </w:r>
    </w:p>
    <w:p w14:paraId="31698C25" w14:textId="77777777" w:rsidR="00945A96" w:rsidRPr="00446BFE" w:rsidRDefault="00945A96" w:rsidP="00945A96">
      <w:pPr>
        <w:pStyle w:val="Heading3"/>
        <w:numPr>
          <w:ilvl w:val="0"/>
          <w:numId w:val="0"/>
        </w:numPr>
        <w:ind w:left="680"/>
      </w:pPr>
      <w:r w:rsidRPr="00446BFE">
        <w:t xml:space="preserve">Settlor </w:t>
      </w:r>
    </w:p>
    <w:p w14:paraId="393244E1" w14:textId="77777777" w:rsidR="00C62697" w:rsidRDefault="00945A96" w:rsidP="00C62697">
      <w:pPr>
        <w:pStyle w:val="Para"/>
      </w:pPr>
      <w:r>
        <w:t>Settlors are natural or legal persons who transfer ownership of their assets to</w:t>
      </w:r>
      <w:r w:rsidRPr="00926F8F">
        <w:t xml:space="preserve"> </w:t>
      </w:r>
      <w:r>
        <w:t>trustees by means of a trust deed or similar arrangement. A person is also a settlor if they have provided (or undertaken to provide) property or funds for the trust. This requires an element of bounty (i.e.</w:t>
      </w:r>
      <w:r w:rsidR="00E945F4">
        <w:t>,</w:t>
      </w:r>
      <w:r>
        <w:t xml:space="preserve"> the settlor must intend to provide </w:t>
      </w:r>
      <w:r w:rsidRPr="00945A96">
        <w:t xml:space="preserve">some form of benefit rather than being an independent third party transferring something to the trust for full </w:t>
      </w:r>
      <w:r w:rsidRPr="00C96170">
        <w:t xml:space="preserve">consideration). </w:t>
      </w:r>
      <w:r w:rsidR="00C62697">
        <w:t>A settlor is generally understood as the person (or persons) establishing a trust.</w:t>
      </w:r>
      <w:r w:rsidR="00C62697">
        <w:rPr>
          <w:rStyle w:val="FootnoteReference"/>
        </w:rPr>
        <w:footnoteReference w:id="9"/>
      </w:r>
      <w:r w:rsidR="00C62697">
        <w:t xml:space="preserve"> </w:t>
      </w:r>
    </w:p>
    <w:p w14:paraId="5889329F" w14:textId="77777777" w:rsidR="00945A96" w:rsidRPr="00C96170" w:rsidRDefault="00945A96" w:rsidP="00EF224F">
      <w:pPr>
        <w:pStyle w:val="Para"/>
      </w:pPr>
      <w:r w:rsidRPr="00C96170">
        <w:t xml:space="preserve">A settlor may or may not be named in the trust instrument (deed). It is possible that the settlor named as such in </w:t>
      </w:r>
      <w:r w:rsidR="00251463">
        <w:t xml:space="preserve">a </w:t>
      </w:r>
      <w:r w:rsidRPr="00C96170">
        <w:t xml:space="preserve">trust instrument is not the real ‘economic settlor’ </w:t>
      </w:r>
      <w:r w:rsidR="00222A48" w:rsidRPr="00C96170">
        <w:t>i.e.,</w:t>
      </w:r>
      <w:r w:rsidRPr="00C96170">
        <w:t xml:space="preserve"> the named settlor is effectively only acting as a ‘nominee’ for the real economic settlor who is the real owner of the assets contributed to the trust. </w:t>
      </w:r>
      <w:r w:rsidR="00C96170">
        <w:t xml:space="preserve">In these instances, additional consideration </w:t>
      </w:r>
      <w:r w:rsidR="00A32829">
        <w:t xml:space="preserve">may be needed as to how to identify the economic settlor. </w:t>
      </w:r>
    </w:p>
    <w:p w14:paraId="2267D129" w14:textId="77777777" w:rsidR="00945A96" w:rsidRDefault="00945A96" w:rsidP="00EF224F">
      <w:pPr>
        <w:pStyle w:val="Para"/>
      </w:pPr>
      <w:r w:rsidRPr="00945A96">
        <w:t>In addition</w:t>
      </w:r>
      <w:r w:rsidRPr="00E5069F">
        <w:t xml:space="preserve">, where the </w:t>
      </w:r>
      <w:r w:rsidR="002B58E2">
        <w:t>settlor or</w:t>
      </w:r>
      <w:r w:rsidRPr="00E5069F">
        <w:t xml:space="preserve"> any other party to the legal arrangement </w:t>
      </w:r>
      <w:r w:rsidR="002B58E2">
        <w:t xml:space="preserve">holding a similar role </w:t>
      </w:r>
      <w:r w:rsidRPr="00E5069F">
        <w:t xml:space="preserve">is a legal person, the beneficial owner of that legal person </w:t>
      </w:r>
      <w:r w:rsidRPr="00EF224F">
        <w:t>should</w:t>
      </w:r>
      <w:r w:rsidRPr="00E5069F">
        <w:t xml:space="preserve"> be identified</w:t>
      </w:r>
      <w:r>
        <w:t>.</w:t>
      </w:r>
    </w:p>
    <w:p w14:paraId="03CFCBBE" w14:textId="77777777" w:rsidR="00945A96" w:rsidRDefault="00945A96" w:rsidP="00945A96">
      <w:pPr>
        <w:pStyle w:val="Title3"/>
        <w:jc w:val="both"/>
      </w:pPr>
      <w:r>
        <w:lastRenderedPageBreak/>
        <w:t>Trustee</w:t>
      </w:r>
    </w:p>
    <w:p w14:paraId="55C7F431" w14:textId="77777777" w:rsidR="00EA45CC" w:rsidRDefault="00EA45CC" w:rsidP="00EA45CC">
      <w:pPr>
        <w:pStyle w:val="Para"/>
      </w:pPr>
      <w:r w:rsidRPr="00FD0A28">
        <w:t>Trustee</w:t>
      </w:r>
      <w:r>
        <w:t>s are the legal, or natural, person who can act in relation to trust assets. The trustee has powers over the trust assets subject to certain obligations. The trustee’s</w:t>
      </w:r>
      <w:r w:rsidRPr="00FD0A28">
        <w:t xml:space="preserve"> powers </w:t>
      </w:r>
      <w:r>
        <w:t xml:space="preserve">and duties </w:t>
      </w:r>
      <w:r w:rsidRPr="00FD0A28">
        <w:t xml:space="preserve">are generally derived from the trust </w:t>
      </w:r>
      <w:r w:rsidRPr="00EF224F">
        <w:t>instrument</w:t>
      </w:r>
      <w:r w:rsidRPr="00FD0A28">
        <w:t>, as well as</w:t>
      </w:r>
      <w:r>
        <w:t xml:space="preserve"> case law and</w:t>
      </w:r>
      <w:r w:rsidRPr="00FD0A28">
        <w:t xml:space="preserve"> legislation in some </w:t>
      </w:r>
      <w:r>
        <w:t>countries</w:t>
      </w:r>
      <w:r w:rsidRPr="00FD0A28">
        <w:t xml:space="preserve">. </w:t>
      </w:r>
    </w:p>
    <w:p w14:paraId="72EFD02B" w14:textId="77777777" w:rsidR="00EA45CC" w:rsidRPr="00EF224F" w:rsidRDefault="00EA45CC" w:rsidP="00EA45CC">
      <w:pPr>
        <w:pStyle w:val="Para"/>
      </w:pPr>
      <w:r w:rsidRPr="00CB508D">
        <w:t>Trustees</w:t>
      </w:r>
      <w:r w:rsidRPr="00FD0A28">
        <w:t xml:space="preserve"> are directly involved in trust transactions, or </w:t>
      </w:r>
      <w:r>
        <w:t xml:space="preserve">generally are required to </w:t>
      </w:r>
      <w:r w:rsidRPr="00EF224F">
        <w:t>conduct ongoing oversight and scrutiny of others who are dealing with the trust property, and they are the central source of information on the trust and parties to the trust.</w:t>
      </w:r>
    </w:p>
    <w:p w14:paraId="7511EFB0" w14:textId="77777777" w:rsidR="00945A96" w:rsidRDefault="004C110E" w:rsidP="00EF224F">
      <w:pPr>
        <w:pStyle w:val="Para"/>
      </w:pPr>
      <w:r>
        <w:t>In line with the</w:t>
      </w:r>
      <w:r w:rsidR="00945A96">
        <w:t xml:space="preserve"> FATF Glossary, the term </w:t>
      </w:r>
      <w:r w:rsidR="00945A96" w:rsidRPr="00945A96">
        <w:rPr>
          <w:i/>
          <w:iCs/>
        </w:rPr>
        <w:t>trustee</w:t>
      </w:r>
      <w:r w:rsidR="00945A96">
        <w:t xml:space="preserve"> should be </w:t>
      </w:r>
      <w:r w:rsidR="00945A96" w:rsidRPr="00EF224F">
        <w:t>understood</w:t>
      </w:r>
      <w:r w:rsidR="00945A96">
        <w:t xml:space="preserve"> as described in and consistent with Article 2</w:t>
      </w:r>
      <w:r w:rsidR="00B15EBD">
        <w:t xml:space="preserve">(c) </w:t>
      </w:r>
      <w:r w:rsidR="00945A96">
        <w:t>of the Hague Convention on the law applicable to trusts and their recognition. Trustees may be professional (</w:t>
      </w:r>
      <w:r w:rsidR="00222A48">
        <w:t>e.g.,</w:t>
      </w:r>
      <w:r w:rsidR="00945A96">
        <w:t xml:space="preserve"> depending on the jurisdiction, a lawyer or trust company) if they are paid to act as a trustee in the course of their business, or a non-professional who is not in the business of being a trustee (</w:t>
      </w:r>
      <w:r w:rsidR="00222A48">
        <w:t>e.g.,</w:t>
      </w:r>
      <w:r w:rsidR="00945A96">
        <w:t xml:space="preserve"> a person acting on behalf of </w:t>
      </w:r>
      <w:r w:rsidR="00F02362">
        <w:t xml:space="preserve">the </w:t>
      </w:r>
      <w:r w:rsidR="00945A96">
        <w:t>family</w:t>
      </w:r>
      <w:r w:rsidR="002B58E2">
        <w:t xml:space="preserve"> on a non-professional basis</w:t>
      </w:r>
      <w:r w:rsidR="00945A96">
        <w:t>).</w:t>
      </w:r>
    </w:p>
    <w:p w14:paraId="4C252CB2" w14:textId="77777777" w:rsidR="00945A96" w:rsidRPr="00CB508D" w:rsidRDefault="00945A96" w:rsidP="00EF224F">
      <w:pPr>
        <w:pStyle w:val="Para"/>
      </w:pPr>
      <w:r>
        <w:t xml:space="preserve">By virtue of the role that trustees play within a legal arrangement </w:t>
      </w:r>
      <w:r w:rsidR="004C110E">
        <w:t xml:space="preserve">all – professional and non-professional </w:t>
      </w:r>
      <w:r w:rsidR="00B411FC">
        <w:t xml:space="preserve">trustees </w:t>
      </w:r>
      <w:r w:rsidR="004C110E">
        <w:t>– must comply with</w:t>
      </w:r>
      <w:r w:rsidRPr="00CB508D">
        <w:t xml:space="preserve"> requirements under R.25.</w:t>
      </w:r>
    </w:p>
    <w:p w14:paraId="493088F2" w14:textId="77777777" w:rsidR="00353935" w:rsidRPr="00287251" w:rsidRDefault="00353935" w:rsidP="00EF224F">
      <w:pPr>
        <w:pStyle w:val="Para"/>
      </w:pPr>
      <w:r w:rsidRPr="00287251">
        <w:t>Traditionally, trustees were under an obligation to perform their management, administration, and investment functions personally and not to delegate those functions, except as provided for by the trust instrument. More recent legislation has, in many jurisdictions, widened the scope for delegation, e.g., through provisions for trustees to appoint custodians, investment managers, investment advisors</w:t>
      </w:r>
      <w:r w:rsidR="00A93428">
        <w:t>,</w:t>
      </w:r>
      <w:r w:rsidRPr="00287251">
        <w:t xml:space="preserve"> and other service providers to assist them in properly administering the trust</w:t>
      </w:r>
      <w:r w:rsidR="00287251" w:rsidRPr="00287251">
        <w:t>.</w:t>
      </w:r>
      <w:r w:rsidR="001A7A2E">
        <w:t xml:space="preserve"> However</w:t>
      </w:r>
      <w:r w:rsidR="001A7A2E" w:rsidRPr="0010588C">
        <w:t>, the trustee generally remains responsible for monitoring and reviewing the arrangements under which a delegate acts.</w:t>
      </w:r>
    </w:p>
    <w:p w14:paraId="66029569" w14:textId="77777777" w:rsidR="00353935" w:rsidRPr="00EF224F" w:rsidRDefault="001A7A2E" w:rsidP="00EF224F">
      <w:pPr>
        <w:pStyle w:val="Para"/>
      </w:pPr>
      <w:r>
        <w:t>Provided the deed permits it, t</w:t>
      </w:r>
      <w:r w:rsidR="00353935" w:rsidRPr="00EF224F">
        <w:t>rustees may authorise delegation of powers by: (</w:t>
      </w:r>
      <w:proofErr w:type="spellStart"/>
      <w:r w:rsidR="00353935" w:rsidRPr="00EF224F">
        <w:t>i</w:t>
      </w:r>
      <w:proofErr w:type="spellEnd"/>
      <w:r w:rsidR="00353935" w:rsidRPr="00EF224F">
        <w:t xml:space="preserve">) power of attorney; or (ii) appointment of agent or service providers to the trust to access additional expertise, e.g., investment advisors or managers, accountants, and tax advisors. In both cases, the trustee generally remains responsible for monitoring and reviewing the arrangements under which a delegate acts. </w:t>
      </w:r>
    </w:p>
    <w:p w14:paraId="0C2AD3C2" w14:textId="77777777" w:rsidR="00353935" w:rsidRPr="00FD0A28" w:rsidRDefault="00353935" w:rsidP="00EF224F">
      <w:pPr>
        <w:pStyle w:val="Para"/>
      </w:pPr>
      <w:r w:rsidRPr="00EF224F">
        <w:t>To determine whether a delegate is effectively the one administering a trust, and in line with the above, it needs to be assessed whether the delegate is: (</w:t>
      </w:r>
      <w:proofErr w:type="spellStart"/>
      <w:r w:rsidRPr="00EF224F">
        <w:t>i</w:t>
      </w:r>
      <w:proofErr w:type="spellEnd"/>
      <w:r w:rsidRPr="00EF224F">
        <w:t xml:space="preserve">) proactively involved in trust transactions and able to conduct ongoing oversight and scrutiny of others who are dealing with the trust property; and (ii) acting as a central source of information on the trust and parties to the trust. In substance, </w:t>
      </w:r>
      <w:r w:rsidR="00EC08A4">
        <w:t xml:space="preserve">an administrator’s activity </w:t>
      </w:r>
      <w:r w:rsidRPr="00EF224F">
        <w:t xml:space="preserve">span will be identical or very similar to that of a trustee, save that the power to </w:t>
      </w:r>
      <w:r w:rsidR="001A7A2E">
        <w:t>exercise discretion</w:t>
      </w:r>
      <w:r w:rsidRPr="00EF224F">
        <w:t xml:space="preserve"> concerning the disposition of the trust property rests with the latter. In modern international trust practice, it is common </w:t>
      </w:r>
      <w:r w:rsidR="00297A07">
        <w:t>for</w:t>
      </w:r>
      <w:r w:rsidR="00297A07" w:rsidRPr="00EF224F">
        <w:t xml:space="preserve"> </w:t>
      </w:r>
      <w:r w:rsidRPr="00EF224F">
        <w:t xml:space="preserve">the administrator </w:t>
      </w:r>
      <w:r w:rsidR="00297A07">
        <w:t>to</w:t>
      </w:r>
      <w:r w:rsidR="00297A07" w:rsidRPr="00EF224F">
        <w:t xml:space="preserve"> </w:t>
      </w:r>
      <w:r w:rsidRPr="00EF224F">
        <w:t>offer a comprehensive package of services</w:t>
      </w:r>
      <w:r w:rsidRPr="00FD0A28">
        <w:t xml:space="preserve">, including liaising with beneficiaries, drafting minutes, instructing banks, and preparing financial statements. The firm offering the administration services </w:t>
      </w:r>
      <w:r>
        <w:t>may appoint</w:t>
      </w:r>
      <w:r w:rsidRPr="00FD0A28">
        <w:t xml:space="preserve"> professional trustees from amongst the firm’s staff to act as trustee</w:t>
      </w:r>
      <w:r w:rsidR="00EC08A4">
        <w:t>s</w:t>
      </w:r>
      <w:r w:rsidRPr="00FD0A28">
        <w:t xml:space="preserve"> for trusts. These may make up the whole of the trustees of </w:t>
      </w:r>
      <w:r w:rsidR="00D22FC9">
        <w:t>a</w:t>
      </w:r>
      <w:r w:rsidR="00D22FC9" w:rsidRPr="00FD0A28">
        <w:t xml:space="preserve"> </w:t>
      </w:r>
      <w:r w:rsidRPr="00FD0A28">
        <w:t xml:space="preserve">trust or may be supplemented by individuals known to the settlor (often family members or close associates). </w:t>
      </w:r>
    </w:p>
    <w:p w14:paraId="620A818E" w14:textId="77777777" w:rsidR="00353935" w:rsidRPr="00EF224F" w:rsidRDefault="00353935" w:rsidP="00EF224F">
      <w:pPr>
        <w:pStyle w:val="Para"/>
      </w:pPr>
      <w:r w:rsidRPr="00FD0A28">
        <w:t>The following activities carried</w:t>
      </w:r>
      <w:r w:rsidR="00864558">
        <w:t xml:space="preserve"> out</w:t>
      </w:r>
      <w:r w:rsidRPr="00FD0A28">
        <w:t xml:space="preserve"> in isolation by expert delegates are not considered to be administering a trust: (</w:t>
      </w:r>
      <w:proofErr w:type="spellStart"/>
      <w:r w:rsidRPr="00FD0A28">
        <w:t>i</w:t>
      </w:r>
      <w:proofErr w:type="spellEnd"/>
      <w:r w:rsidRPr="00FD0A28">
        <w:t xml:space="preserve">) </w:t>
      </w:r>
      <w:r w:rsidRPr="00EF224F">
        <w:t xml:space="preserve">investment advice or management; (ii) custodian services; (iii) legal advice; (iv) tax advice; (v) management of real estate accounting </w:t>
      </w:r>
      <w:r w:rsidR="00864558">
        <w:t>and</w:t>
      </w:r>
      <w:r w:rsidRPr="00EF224F">
        <w:t>; (vi)</w:t>
      </w:r>
      <w:r w:rsidR="00B15EBD">
        <w:t xml:space="preserve"> </w:t>
      </w:r>
      <w:r w:rsidRPr="00EF224F">
        <w:t>book-keeping services. In this context, an administrator is normally, but not exclusively, a person other than a trustee (</w:t>
      </w:r>
      <w:proofErr w:type="gramStart"/>
      <w:r w:rsidRPr="00EF224F">
        <w:t>e.g.</w:t>
      </w:r>
      <w:proofErr w:type="gramEnd"/>
      <w:r w:rsidRPr="00EF224F">
        <w:t xml:space="preserve"> TCSPs, accountants) who</w:t>
      </w:r>
      <w:r w:rsidR="00D22FC9">
        <w:t xml:space="preserve"> </w:t>
      </w:r>
      <w:r w:rsidR="00222A48">
        <w:t>is</w:t>
      </w:r>
      <w:r w:rsidRPr="00EF224F">
        <w:t xml:space="preserve"> (</w:t>
      </w:r>
      <w:proofErr w:type="spellStart"/>
      <w:r w:rsidRPr="00EF224F">
        <w:t>i</w:t>
      </w:r>
      <w:proofErr w:type="spellEnd"/>
      <w:r w:rsidRPr="00EF224F">
        <w:t xml:space="preserve">) proactively involved in trust transactions and able to conduct ongoing due diligence and scrutiny of </w:t>
      </w:r>
      <w:r w:rsidRPr="00EF224F">
        <w:lastRenderedPageBreak/>
        <w:t xml:space="preserve">transactions of others who are dealing with the trust property; and (ii) acting as a central source of information on the trust and parties to the trust. </w:t>
      </w:r>
    </w:p>
    <w:p w14:paraId="48191ABF" w14:textId="77777777" w:rsidR="00353935" w:rsidRPr="00EF224F" w:rsidRDefault="00353935" w:rsidP="00EF224F">
      <w:pPr>
        <w:pStyle w:val="Para"/>
      </w:pPr>
      <w:r w:rsidRPr="00EF224F">
        <w:t xml:space="preserve">Those experts </w:t>
      </w:r>
      <w:r w:rsidR="00F953D5">
        <w:t>who</w:t>
      </w:r>
      <w:r w:rsidR="00F953D5" w:rsidRPr="00EF224F">
        <w:t xml:space="preserve"> </w:t>
      </w:r>
      <w:r w:rsidRPr="00EF224F">
        <w:t>provide services to underlying investments of trusts</w:t>
      </w:r>
      <w:r w:rsidR="00F953D5">
        <w:t>,</w:t>
      </w:r>
      <w:r w:rsidRPr="00EF224F">
        <w:t xml:space="preserve"> e.g., acting as a director to a trading company held in a trust, are not to be considered as administering the trust. </w:t>
      </w:r>
    </w:p>
    <w:p w14:paraId="0623FC63" w14:textId="77777777" w:rsidR="00353935" w:rsidRPr="00FB6F3C" w:rsidRDefault="00353935" w:rsidP="00EF224F">
      <w:pPr>
        <w:pStyle w:val="Para"/>
      </w:pPr>
      <w:r w:rsidRPr="00EF224F">
        <w:t>The appointment of an administrator (a central coordinator) may be more common for trusts with several trustees and where activities</w:t>
      </w:r>
      <w:r w:rsidRPr="00FD0A28">
        <w:t xml:space="preserve"> are complex or numerous, where professional administration support is </w:t>
      </w:r>
      <w:r w:rsidRPr="00353935">
        <w:t xml:space="preserve">needed.  </w:t>
      </w:r>
    </w:p>
    <w:p w14:paraId="2D962421" w14:textId="77777777" w:rsidR="00945A96" w:rsidRPr="00945A96" w:rsidRDefault="00945A96" w:rsidP="00945A96">
      <w:pPr>
        <w:pStyle w:val="Title3"/>
        <w:jc w:val="both"/>
      </w:pPr>
      <w:r>
        <w:t>Protector</w:t>
      </w:r>
    </w:p>
    <w:p w14:paraId="73F4C85F" w14:textId="77777777" w:rsidR="00C62697" w:rsidRDefault="00A32829" w:rsidP="00885103">
      <w:pPr>
        <w:pStyle w:val="Para"/>
        <w:numPr>
          <w:ilvl w:val="0"/>
          <w:numId w:val="17"/>
        </w:numPr>
      </w:pPr>
      <w:r>
        <w:t xml:space="preserve">There is no universal definition of the term </w:t>
      </w:r>
      <w:r w:rsidRPr="007B7EFA">
        <w:rPr>
          <w:i/>
          <w:iCs/>
        </w:rPr>
        <w:t>protector</w:t>
      </w:r>
      <w:r w:rsidR="003E779E">
        <w:rPr>
          <w:i/>
          <w:iCs/>
        </w:rPr>
        <w:t>,</w:t>
      </w:r>
      <w:r>
        <w:t xml:space="preserve"> and a protector’s duties and powers may vary widely between jurisdictions</w:t>
      </w:r>
      <w:r w:rsidR="003E779E">
        <w:t xml:space="preserve"> and </w:t>
      </w:r>
      <w:r>
        <w:t xml:space="preserve">trusts. </w:t>
      </w:r>
      <w:r w:rsidR="00C62697">
        <w:t xml:space="preserve">A </w:t>
      </w:r>
      <w:r w:rsidR="00C62697" w:rsidRPr="007D1E6D">
        <w:t>protector</w:t>
      </w:r>
      <w:r w:rsidR="00C62697">
        <w:t>, appointor</w:t>
      </w:r>
      <w:r w:rsidR="003E779E">
        <w:t>,</w:t>
      </w:r>
      <w:r w:rsidR="00C62697">
        <w:t xml:space="preserve"> or guardian</w:t>
      </w:r>
      <w:r w:rsidR="00C62697" w:rsidRPr="007D1E6D">
        <w:t xml:space="preserve"> is generally </w:t>
      </w:r>
      <w:r w:rsidR="00C62697" w:rsidRPr="00EF224F">
        <w:t xml:space="preserve">appointed to oversee trustees’ actions and to consider whether such actions are in the interest of the beneficiaries. </w:t>
      </w:r>
      <w:r w:rsidR="00C62697">
        <w:t>These entities may protect and ultimately control a trust because:</w:t>
      </w:r>
    </w:p>
    <w:p w14:paraId="10B7E22B" w14:textId="77777777" w:rsidR="00C62697" w:rsidRDefault="00C62697" w:rsidP="00C62697">
      <w:pPr>
        <w:pStyle w:val="BulletedList"/>
        <w:numPr>
          <w:ilvl w:val="0"/>
          <w:numId w:val="5"/>
        </w:numPr>
      </w:pPr>
      <w:r>
        <w:t>they approve the trustee’s decisions</w:t>
      </w:r>
      <w:r w:rsidR="00222A48">
        <w:t>.</w:t>
      </w:r>
    </w:p>
    <w:p w14:paraId="796C569F" w14:textId="77777777" w:rsidR="00C62697" w:rsidRDefault="00C62697" w:rsidP="00C62697">
      <w:pPr>
        <w:pStyle w:val="BulletedList"/>
        <w:numPr>
          <w:ilvl w:val="0"/>
          <w:numId w:val="5"/>
        </w:numPr>
      </w:pPr>
      <w:r>
        <w:t>they may revoke a trustee’s decisions</w:t>
      </w:r>
      <w:r w:rsidR="00222A48">
        <w:t>.</w:t>
      </w:r>
    </w:p>
    <w:p w14:paraId="4C440B25" w14:textId="77777777" w:rsidR="00C62697" w:rsidRDefault="00C62697" w:rsidP="00C62697">
      <w:pPr>
        <w:pStyle w:val="BulletedList"/>
        <w:numPr>
          <w:ilvl w:val="0"/>
          <w:numId w:val="5"/>
        </w:numPr>
      </w:pPr>
      <w:r>
        <w:t>they may remove a trustee</w:t>
      </w:r>
      <w:r w:rsidR="00222A48">
        <w:t>.</w:t>
      </w:r>
    </w:p>
    <w:p w14:paraId="696C6E2B" w14:textId="77777777" w:rsidR="00C62697" w:rsidRDefault="00C62697" w:rsidP="00C62697">
      <w:pPr>
        <w:pStyle w:val="BulletedList"/>
        <w:numPr>
          <w:ilvl w:val="0"/>
          <w:numId w:val="5"/>
        </w:numPr>
      </w:pPr>
      <w:r>
        <w:t>they may appoint a new trustee</w:t>
      </w:r>
      <w:r w:rsidR="00222A48">
        <w:t>.</w:t>
      </w:r>
    </w:p>
    <w:p w14:paraId="7FCB5EC1" w14:textId="77777777" w:rsidR="00C62697" w:rsidRDefault="00C62697" w:rsidP="00C62697">
      <w:pPr>
        <w:pStyle w:val="BulletedList"/>
        <w:numPr>
          <w:ilvl w:val="0"/>
          <w:numId w:val="5"/>
        </w:numPr>
      </w:pPr>
      <w:r>
        <w:t xml:space="preserve">they may change the jurisdiction of the trust. </w:t>
      </w:r>
    </w:p>
    <w:p w14:paraId="37FF0AF9" w14:textId="77777777" w:rsidR="00C62697" w:rsidRPr="00EF224F" w:rsidRDefault="00D3033E" w:rsidP="00885103">
      <w:pPr>
        <w:pStyle w:val="Para"/>
        <w:numPr>
          <w:ilvl w:val="0"/>
          <w:numId w:val="17"/>
        </w:numPr>
      </w:pPr>
      <w:r>
        <w:t>A</w:t>
      </w:r>
      <w:r w:rsidR="00C62697" w:rsidRPr="00EF224F">
        <w:t xml:space="preserve"> trustee </w:t>
      </w:r>
      <w:r>
        <w:t xml:space="preserve">is expected to </w:t>
      </w:r>
      <w:r w:rsidR="00C62697" w:rsidRPr="00EF224F">
        <w:t xml:space="preserve">obtain information to enable it to identify and verify the identity of the protector. </w:t>
      </w:r>
      <w:r w:rsidR="00C62697">
        <w:t xml:space="preserve">In some </w:t>
      </w:r>
      <w:r w:rsidR="00222A48">
        <w:t>cases,</w:t>
      </w:r>
      <w:r w:rsidR="00C62697">
        <w:t xml:space="preserve"> a protector may be a legal person.</w:t>
      </w:r>
    </w:p>
    <w:p w14:paraId="4E54CBD9" w14:textId="77777777" w:rsidR="007D1E6D" w:rsidRDefault="007D1E6D" w:rsidP="007D1E6D">
      <w:pPr>
        <w:pStyle w:val="Title3"/>
        <w:jc w:val="both"/>
      </w:pPr>
      <w:r w:rsidRPr="00BE296B">
        <w:t xml:space="preserve">Natural person exercising effective </w:t>
      </w:r>
      <w:proofErr w:type="gramStart"/>
      <w:r w:rsidRPr="00BE296B">
        <w:t>control</w:t>
      </w:r>
      <w:proofErr w:type="gramEnd"/>
      <w:r w:rsidRPr="00BE296B">
        <w:t xml:space="preserve"> </w:t>
      </w:r>
    </w:p>
    <w:p w14:paraId="261D120F" w14:textId="77777777" w:rsidR="007D1E6D" w:rsidRPr="007D1E6D" w:rsidRDefault="00A32829" w:rsidP="00EF224F">
      <w:pPr>
        <w:pStyle w:val="Para"/>
      </w:pPr>
      <w:r>
        <w:t>In addition to the</w:t>
      </w:r>
      <w:r w:rsidR="007D1E6D" w:rsidRPr="007D1E6D">
        <w:t xml:space="preserve"> parties to the trust mentioned above, other natural persons </w:t>
      </w:r>
      <w:r w:rsidR="00D3033E">
        <w:t>may</w:t>
      </w:r>
      <w:r w:rsidR="00D3033E" w:rsidRPr="007D1E6D">
        <w:t xml:space="preserve"> </w:t>
      </w:r>
      <w:r w:rsidR="007D1E6D" w:rsidRPr="007D1E6D">
        <w:t>exercise effective control over the legal arrangement. Ultimate effective control over trusts or similar legal arrangements includes:</w:t>
      </w:r>
    </w:p>
    <w:p w14:paraId="444A9534" w14:textId="77777777" w:rsidR="007D1E6D" w:rsidRPr="00EF224F" w:rsidRDefault="007D1E6D" w:rsidP="00EF224F">
      <w:pPr>
        <w:pStyle w:val="BulletedList"/>
      </w:pPr>
      <w:r w:rsidRPr="00EF224F">
        <w:t>situations in which ownership/control is exercised through a chain of ownership/control</w:t>
      </w:r>
      <w:r w:rsidR="00A32829" w:rsidDel="00D7473E">
        <w:t>, but may also include</w:t>
      </w:r>
      <w:r w:rsidRPr="00EF224F">
        <w:t>;</w:t>
      </w:r>
    </w:p>
    <w:p w14:paraId="7C4AB7DD" w14:textId="77777777" w:rsidR="007D1E6D" w:rsidRDefault="007D1E6D" w:rsidP="00BE40ED">
      <w:pPr>
        <w:pStyle w:val="BulletedList"/>
      </w:pPr>
      <w:r w:rsidRPr="00EF224F">
        <w:t xml:space="preserve">any other individual </w:t>
      </w:r>
      <w:r w:rsidR="00D7473E">
        <w:t>with the</w:t>
      </w:r>
      <w:r w:rsidRPr="00EF224F">
        <w:t xml:space="preserve"> power to decide who can exert control over the trust.  </w:t>
      </w:r>
    </w:p>
    <w:tbl>
      <w:tblPr>
        <w:tblStyle w:val="TableGrid"/>
        <w:tblpPr w:leftFromText="180" w:rightFromText="180" w:vertAnchor="text" w:horzAnchor="margin" w:tblpXSpec="center" w:tblpY="256"/>
        <w:tblW w:w="8848" w:type="dxa"/>
        <w:tblBorders>
          <w:top w:val="single" w:sz="18" w:space="0" w:color="4E81BD" w:themeColor="accent1"/>
          <w:left w:val="single" w:sz="18" w:space="0" w:color="4E81BD" w:themeColor="accent1"/>
          <w:bottom w:val="single" w:sz="18" w:space="0" w:color="4E81BD" w:themeColor="accent1"/>
          <w:right w:val="single" w:sz="18" w:space="0" w:color="4E81BD" w:themeColor="accent1"/>
          <w:insideH w:val="single" w:sz="18" w:space="0" w:color="4E81BD" w:themeColor="accent1"/>
          <w:insideV w:val="single" w:sz="18" w:space="0" w:color="4E81BD" w:themeColor="accent1"/>
        </w:tblBorders>
        <w:shd w:val="clear" w:color="auto" w:fill="FFFFFF" w:themeFill="background1"/>
        <w:tblCellMar>
          <w:left w:w="142" w:type="dxa"/>
          <w:bottom w:w="142" w:type="dxa"/>
          <w:right w:w="142" w:type="dxa"/>
        </w:tblCellMar>
        <w:tblLook w:val="04A0" w:firstRow="1" w:lastRow="0" w:firstColumn="1" w:lastColumn="0" w:noHBand="0" w:noVBand="1"/>
      </w:tblPr>
      <w:tblGrid>
        <w:gridCol w:w="8848"/>
      </w:tblGrid>
      <w:tr w:rsidR="00CB508D" w:rsidRPr="00E2226B" w14:paraId="1A227271" w14:textId="77777777" w:rsidTr="00CB508D">
        <w:trPr>
          <w:trHeight w:val="276"/>
        </w:trPr>
        <w:tc>
          <w:tcPr>
            <w:tcW w:w="8848" w:type="dxa"/>
            <w:tcBorders>
              <w:top w:val="single" w:sz="4" w:space="0" w:color="4E81BD" w:themeColor="accent1"/>
              <w:left w:val="single" w:sz="4" w:space="0" w:color="4E81BD" w:themeColor="accent1"/>
              <w:bottom w:val="single" w:sz="4" w:space="0" w:color="4E81BD" w:themeColor="accent1"/>
              <w:right w:val="single" w:sz="4" w:space="0" w:color="4E81BD" w:themeColor="accent1"/>
            </w:tcBorders>
            <w:shd w:val="clear" w:color="auto" w:fill="EEECE1" w:themeFill="accent3"/>
          </w:tcPr>
          <w:p w14:paraId="597CA088" w14:textId="77777777" w:rsidR="00CB508D" w:rsidRDefault="00CB508D" w:rsidP="00CB508D">
            <w:pPr>
              <w:pStyle w:val="Caption"/>
            </w:pPr>
            <w:r w:rsidRPr="00B44A50">
              <w:t>Box</w:t>
            </w:r>
            <w:r>
              <w:t> </w:t>
            </w:r>
            <w:r>
              <w:rPr>
                <w:noProof/>
              </w:rPr>
              <w:fldChar w:fldCharType="begin"/>
            </w:r>
            <w:r>
              <w:rPr>
                <w:noProof/>
              </w:rPr>
              <w:instrText xml:space="preserve"> STYLEREF 1 \s </w:instrText>
            </w:r>
            <w:r>
              <w:rPr>
                <w:noProof/>
              </w:rPr>
              <w:fldChar w:fldCharType="separate"/>
            </w:r>
            <w:r w:rsidR="00E76A87">
              <w:rPr>
                <w:noProof/>
              </w:rPr>
              <w:t>2</w:t>
            </w:r>
            <w:r>
              <w:rPr>
                <w:noProof/>
              </w:rPr>
              <w:fldChar w:fldCharType="end"/>
            </w:r>
            <w:r>
              <w:t>.</w:t>
            </w:r>
            <w:r>
              <w:rPr>
                <w:noProof/>
              </w:rPr>
              <w:fldChar w:fldCharType="begin"/>
            </w:r>
            <w:r>
              <w:rPr>
                <w:noProof/>
              </w:rPr>
              <w:instrText xml:space="preserve"> SEQ Box \* ARABIC \s 1 </w:instrText>
            </w:r>
            <w:r>
              <w:rPr>
                <w:noProof/>
              </w:rPr>
              <w:fldChar w:fldCharType="separate"/>
            </w:r>
            <w:r w:rsidR="00E76A87">
              <w:rPr>
                <w:noProof/>
              </w:rPr>
              <w:t>2</w:t>
            </w:r>
            <w:r>
              <w:rPr>
                <w:noProof/>
              </w:rPr>
              <w:fldChar w:fldCharType="end"/>
            </w:r>
            <w:r>
              <w:t xml:space="preserve">. Natural person exercising effective </w:t>
            </w:r>
            <w:proofErr w:type="gramStart"/>
            <w:r>
              <w:t>control</w:t>
            </w:r>
            <w:proofErr w:type="gramEnd"/>
          </w:p>
          <w:p w14:paraId="1D275601" w14:textId="77777777" w:rsidR="00CB508D" w:rsidRDefault="007C489D" w:rsidP="00CB508D">
            <w:pPr>
              <w:pStyle w:val="Para0"/>
            </w:pPr>
            <w:r>
              <w:t>“</w:t>
            </w:r>
            <w:r w:rsidR="00CB508D">
              <w:t>Control</w:t>
            </w:r>
            <w:r>
              <w:t>”</w:t>
            </w:r>
            <w:r w:rsidR="00CB508D">
              <w:t xml:space="preserve"> means a power (whether exercisable alone or jointly with another person or with the consent of another person) under the trust instrument or by law to:</w:t>
            </w:r>
          </w:p>
          <w:p w14:paraId="091B1A9D" w14:textId="77777777" w:rsidR="00CB508D" w:rsidRDefault="00CB508D" w:rsidP="002C37D7">
            <w:pPr>
              <w:pStyle w:val="Para0"/>
              <w:numPr>
                <w:ilvl w:val="0"/>
                <w:numId w:val="8"/>
              </w:numPr>
              <w:spacing w:before="0" w:after="0"/>
              <w:ind w:left="1395" w:hanging="357"/>
            </w:pPr>
            <w:r>
              <w:t>dispose of or invest (other than as an investment manager) trust property;</w:t>
            </w:r>
          </w:p>
          <w:p w14:paraId="6FD8BFFD" w14:textId="77777777" w:rsidR="00CB508D" w:rsidRDefault="00CB508D" w:rsidP="002C37D7">
            <w:pPr>
              <w:pStyle w:val="Para0"/>
              <w:numPr>
                <w:ilvl w:val="0"/>
                <w:numId w:val="8"/>
              </w:numPr>
              <w:spacing w:before="0" w:after="0"/>
              <w:ind w:left="1395" w:hanging="357"/>
            </w:pPr>
            <w:r>
              <w:t>direct, make or approve trust distributions;</w:t>
            </w:r>
          </w:p>
          <w:p w14:paraId="694A4DA3" w14:textId="77777777" w:rsidR="00CB508D" w:rsidRDefault="00CB508D" w:rsidP="002C37D7">
            <w:pPr>
              <w:pStyle w:val="Para0"/>
              <w:numPr>
                <w:ilvl w:val="0"/>
                <w:numId w:val="8"/>
              </w:numPr>
              <w:spacing w:before="0" w:after="0"/>
              <w:ind w:left="1395" w:hanging="357"/>
            </w:pPr>
            <w:r>
              <w:t>vary or terminate the trust;</w:t>
            </w:r>
          </w:p>
          <w:p w14:paraId="62914273" w14:textId="77777777" w:rsidR="002B58E2" w:rsidRDefault="00CB508D" w:rsidP="002C37D7">
            <w:pPr>
              <w:pStyle w:val="Para0"/>
              <w:numPr>
                <w:ilvl w:val="0"/>
                <w:numId w:val="8"/>
              </w:numPr>
              <w:spacing w:before="0" w:after="0"/>
              <w:ind w:left="1395" w:hanging="357"/>
            </w:pPr>
            <w:r>
              <w:t>add or remove a person as a beneficiary or to or from a class of</w:t>
            </w:r>
            <w:r w:rsidR="002B58E2">
              <w:t xml:space="preserve"> beneficiaries; and/or</w:t>
            </w:r>
          </w:p>
          <w:p w14:paraId="79AF269E" w14:textId="77777777" w:rsidR="00CB508D" w:rsidRDefault="002B58E2" w:rsidP="002C37D7">
            <w:pPr>
              <w:pStyle w:val="Para0"/>
              <w:numPr>
                <w:ilvl w:val="0"/>
                <w:numId w:val="8"/>
              </w:numPr>
              <w:spacing w:before="0" w:after="0"/>
              <w:ind w:left="1395" w:hanging="357"/>
            </w:pPr>
            <w:r>
              <w:t>appoint or remove trustees.</w:t>
            </w:r>
          </w:p>
          <w:p w14:paraId="4F696A5E" w14:textId="77777777" w:rsidR="00CB508D" w:rsidRPr="007D1E6D" w:rsidRDefault="00CB508D" w:rsidP="00CB508D">
            <w:pPr>
              <w:pStyle w:val="Sourcenotes"/>
              <w:rPr>
                <w:i/>
                <w:iCs/>
              </w:rPr>
            </w:pPr>
            <w:r w:rsidRPr="007D1E6D">
              <w:rPr>
                <w:i/>
                <w:iCs/>
              </w:rPr>
              <w:t>Source: FATF, Risk-Based Approach Guidance for Legal Professionals, pp 71, 2019</w:t>
            </w:r>
          </w:p>
        </w:tc>
      </w:tr>
    </w:tbl>
    <w:p w14:paraId="368D07CF" w14:textId="77777777" w:rsidR="007D1E6D" w:rsidRPr="007D1E6D" w:rsidRDefault="007D1E6D" w:rsidP="007D1E6D">
      <w:pPr>
        <w:pStyle w:val="Title3"/>
        <w:rPr>
          <w:rFonts w:eastAsia="SimSun"/>
        </w:rPr>
      </w:pPr>
      <w:r>
        <w:rPr>
          <w:rFonts w:eastAsia="SimSun"/>
        </w:rPr>
        <w:lastRenderedPageBreak/>
        <w:t>Beneficiaries</w:t>
      </w:r>
    </w:p>
    <w:p w14:paraId="5B7150DC" w14:textId="77777777" w:rsidR="007D1E6D" w:rsidRPr="00240A30" w:rsidRDefault="00C62697" w:rsidP="00EF224F">
      <w:pPr>
        <w:pStyle w:val="Para"/>
      </w:pPr>
      <w:r>
        <w:t>A</w:t>
      </w:r>
      <w:r w:rsidR="007D1E6D" w:rsidRPr="00FD0A28">
        <w:t xml:space="preserve"> beneficiary </w:t>
      </w:r>
      <w:r>
        <w:t>of a trust is</w:t>
      </w:r>
      <w:r w:rsidR="007D1E6D" w:rsidRPr="00FD0A28">
        <w:t xml:space="preserve"> the person</w:t>
      </w:r>
      <w:r w:rsidR="001C62F4">
        <w:t>(s)</w:t>
      </w:r>
      <w:r w:rsidR="007D1E6D" w:rsidRPr="00FD0A28">
        <w:t xml:space="preserve"> who</w:t>
      </w:r>
      <w:r w:rsidR="001C62F4">
        <w:t xml:space="preserve"> is(</w:t>
      </w:r>
      <w:r w:rsidR="007D1E6D" w:rsidRPr="00FD0A28">
        <w:t>are</w:t>
      </w:r>
      <w:r w:rsidR="001C62F4">
        <w:t>)</w:t>
      </w:r>
      <w:r w:rsidR="007D1E6D" w:rsidRPr="00FD0A28">
        <w:t xml:space="preserve"> or may become entitled to the benefit, </w:t>
      </w:r>
      <w:r w:rsidR="007D1E6D" w:rsidRPr="007D1E6D">
        <w:rPr>
          <w:rFonts w:eastAsia="Calibri"/>
          <w:lang w:val="en-IE"/>
        </w:rPr>
        <w:t>directly</w:t>
      </w:r>
      <w:r w:rsidR="007D1E6D" w:rsidRPr="00FD0A28">
        <w:t xml:space="preserve"> or indirectly, of any trust arrangement. A beneficiary can be a natural person</w:t>
      </w:r>
      <w:r w:rsidR="001C62F4">
        <w:t>,</w:t>
      </w:r>
      <w:r w:rsidR="007D1E6D" w:rsidRPr="00FD0A28">
        <w:t xml:space="preserve"> or a legal person or arrangement. All trusts (other than charitable or statutory </w:t>
      </w:r>
      <w:r w:rsidR="007D1E6D" w:rsidRPr="00EF224F">
        <w:t>permitted non-charitable trusts) are required to have ascertainable beneficiaries. While trusts must always have some ultimately ascertainable beneficiary, trusts may have no defined existing beneficiaries when they are set up but only a class of beneficiaries with persons who are objects of a power until</w:t>
      </w:r>
      <w:r w:rsidR="00251463">
        <w:t>, for example,</w:t>
      </w:r>
      <w:r w:rsidR="007D1E6D" w:rsidRPr="00EF224F">
        <w:t xml:space="preserve"> some person becomes entitled as </w:t>
      </w:r>
      <w:r w:rsidR="001C62F4">
        <w:t xml:space="preserve">a </w:t>
      </w:r>
      <w:r w:rsidR="007D1E6D" w:rsidRPr="00EF224F">
        <w:t xml:space="preserve">beneficiary to income or capital on the expiry of a defined period, known as the accumulation period, or following </w:t>
      </w:r>
      <w:r w:rsidR="001C62F4">
        <w:t xml:space="preserve">the </w:t>
      </w:r>
      <w:r w:rsidR="007D1E6D" w:rsidRPr="00EF224F">
        <w:t>exercise of trustee discretion in the case of a discretionary trust.</w:t>
      </w:r>
      <w:r w:rsidR="007D1E6D" w:rsidRPr="00B16EC8">
        <w:rPr>
          <w:rStyle w:val="FootnoteReference"/>
        </w:rPr>
        <w:footnoteReference w:id="10"/>
      </w:r>
      <w:r w:rsidR="007D1E6D" w:rsidRPr="00B16EC8">
        <w:rPr>
          <w:vertAlign w:val="superscript"/>
        </w:rPr>
        <w:t xml:space="preserve"> </w:t>
      </w:r>
    </w:p>
    <w:p w14:paraId="2537FEC3" w14:textId="77777777" w:rsidR="003B78A2" w:rsidRPr="00EF224F" w:rsidRDefault="003B78A2" w:rsidP="003B78A2">
      <w:pPr>
        <w:pStyle w:val="Para"/>
      </w:pPr>
      <w:r w:rsidRPr="00EF224F">
        <w:t xml:space="preserve">In regard to those persons who may become entitled to the benefit of a legal arrangement, trustees may be given, through provisions in the trust instrument, powers to select which of a group of persons shall receive any benefit at all from the trust, at the trustee’s discretion. Alternatively, while the trust instrument may provide that each member of a class of beneficiaries is to receive some benefit, the trustee may be given the power to determine how much each beneficiary will receive at the trustee’s discretion. Similarly, the trustee may also be given the power to decide, at their discretion, whether to distribute income, or to accumulate it. </w:t>
      </w:r>
    </w:p>
    <w:p w14:paraId="70353576" w14:textId="77777777" w:rsidR="003B78A2" w:rsidRDefault="007D1E6D" w:rsidP="00EF224F">
      <w:pPr>
        <w:pStyle w:val="Para"/>
      </w:pPr>
      <w:r w:rsidRPr="00EF224F">
        <w:t xml:space="preserve">Accordingly, </w:t>
      </w:r>
      <w:r w:rsidR="003B78A2">
        <w:t>a beneficiary may include:</w:t>
      </w:r>
    </w:p>
    <w:p w14:paraId="4450D9AA" w14:textId="77777777" w:rsidR="007D1E6D" w:rsidRPr="00EF224F" w:rsidRDefault="007D1E6D" w:rsidP="00240A30">
      <w:pPr>
        <w:pStyle w:val="BulletedList"/>
      </w:pPr>
      <w:r w:rsidRPr="00EF224F">
        <w:t>those explicitly named in the trust instrument (trust deed) as a beneficiary or beneficiaries.</w:t>
      </w:r>
    </w:p>
    <w:p w14:paraId="6CBB3AE0" w14:textId="77777777" w:rsidR="007D1E6D" w:rsidRPr="00EF224F" w:rsidRDefault="007D1E6D" w:rsidP="00240A30">
      <w:pPr>
        <w:pStyle w:val="BulletedList"/>
      </w:pPr>
      <w:r w:rsidRPr="00EF224F">
        <w:t xml:space="preserve">those who may not be explicitly named but </w:t>
      </w:r>
      <w:r w:rsidR="003B78A2">
        <w:t xml:space="preserve">who </w:t>
      </w:r>
      <w:r w:rsidRPr="00EF224F">
        <w:t>can be clearly identified as being entitled to the benefit of a particular legal arrangement (</w:t>
      </w:r>
      <w:proofErr w:type="gramStart"/>
      <w:r w:rsidRPr="00EF224F">
        <w:t>e.g.</w:t>
      </w:r>
      <w:proofErr w:type="gramEnd"/>
      <w:r w:rsidRPr="00EF224F">
        <w:t xml:space="preserve"> a child of the settlor if the trust instrument names the beneficiaries as being the settlor’s children).</w:t>
      </w:r>
    </w:p>
    <w:p w14:paraId="65CEA7B2" w14:textId="77777777" w:rsidR="007D1E6D" w:rsidRPr="00EF224F" w:rsidRDefault="003B78A2" w:rsidP="00240A30">
      <w:pPr>
        <w:pStyle w:val="BulletedList"/>
      </w:pPr>
      <w:r>
        <w:t xml:space="preserve">those </w:t>
      </w:r>
      <w:r w:rsidR="007D1E6D" w:rsidRPr="00EF224F">
        <w:t xml:space="preserve">who become beneficiaries at the occurrence of a specific event, such as the exercise of trustee discretion </w:t>
      </w:r>
      <w:r>
        <w:t xml:space="preserve">(objects of a power) </w:t>
      </w:r>
      <w:r w:rsidR="007D1E6D" w:rsidRPr="00EF224F">
        <w:t>or the realisation of an accumulation period.</w:t>
      </w:r>
    </w:p>
    <w:p w14:paraId="44044F79" w14:textId="77777777" w:rsidR="00A32829" w:rsidRDefault="007D1E6D" w:rsidP="00240A30">
      <w:pPr>
        <w:pStyle w:val="Para"/>
      </w:pPr>
      <w:r w:rsidRPr="00EF224F">
        <w:t>The requirement to obtain and hold adequate</w:t>
      </w:r>
      <w:r w:rsidRPr="00FD0A28">
        <w:t>, accurate</w:t>
      </w:r>
      <w:r w:rsidR="00283F48">
        <w:t>,</w:t>
      </w:r>
      <w:r w:rsidRPr="00FD0A28">
        <w:t xml:space="preserve"> and up-to-date </w:t>
      </w:r>
      <w:r w:rsidR="00D84FCB">
        <w:t>beneficial ownership</w:t>
      </w:r>
      <w:r w:rsidR="00D84FCB" w:rsidRPr="00FD0A28">
        <w:t xml:space="preserve"> </w:t>
      </w:r>
      <w:r w:rsidRPr="00FD0A28">
        <w:t xml:space="preserve">information regarding the trust under R.25 </w:t>
      </w:r>
      <w:r>
        <w:t>applies to all current beneficiaries</w:t>
      </w:r>
      <w:r w:rsidR="00251463">
        <w:t>, with certain exceptions in the case of those identified by class as per INR25.1</w:t>
      </w:r>
      <w:r>
        <w:t xml:space="preserve">. Separate provisions apply </w:t>
      </w:r>
      <w:r w:rsidR="00283F48">
        <w:t>for</w:t>
      </w:r>
      <w:r>
        <w:t xml:space="preserve"> beneficiaries </w:t>
      </w:r>
      <w:r w:rsidR="00283F48">
        <w:t xml:space="preserve">who </w:t>
      </w:r>
      <w:r>
        <w:t>are objects of a power that will be exercised under a discretionary trust.</w:t>
      </w:r>
      <w:r w:rsidR="00A32829" w:rsidRPr="00A32829">
        <w:t xml:space="preserve"> </w:t>
      </w:r>
    </w:p>
    <w:p w14:paraId="7469BFCD" w14:textId="77777777" w:rsidR="00A32829" w:rsidRDefault="00A32829" w:rsidP="00BD75D6">
      <w:pPr>
        <w:pStyle w:val="Para"/>
        <w:numPr>
          <w:ilvl w:val="0"/>
          <w:numId w:val="24"/>
        </w:numPr>
      </w:pPr>
      <w:r>
        <w:t>F</w:t>
      </w:r>
      <w:r w:rsidRPr="00FD0A28">
        <w:t xml:space="preserve">ollowing a risk-based approach, countries may decide that it is not necessary to identify the individual beneficiaries of certain charitable or statutory permitted non-charitable trusts. This decision should be based on a risk assessment of this type of </w:t>
      </w:r>
      <w:r w:rsidRPr="00EF224F">
        <w:t>trusts and should clearly align with the findings of that risk assessment.</w:t>
      </w:r>
      <w:r w:rsidRPr="00A32829">
        <w:t xml:space="preserve"> </w:t>
      </w:r>
      <w:r w:rsidRPr="00EF224F">
        <w:t xml:space="preserve">Where there are no ascertainable beneficiaries at the time of setting up the trust, then as per INR25.1, the trustee </w:t>
      </w:r>
      <w:r w:rsidRPr="00EF224F">
        <w:lastRenderedPageBreak/>
        <w:t>should obtain</w:t>
      </w:r>
      <w:r w:rsidRPr="00FD0A28">
        <w:t xml:space="preserve"> and hold </w:t>
      </w:r>
      <w:r>
        <w:t xml:space="preserve">some </w:t>
      </w:r>
      <w:r w:rsidRPr="00FD0A28">
        <w:t xml:space="preserve">information on the class of beneficiaries and its characteristics, and objects of a power </w:t>
      </w:r>
      <w:r>
        <w:t>(see section below).</w:t>
      </w:r>
      <w:r>
        <w:rPr>
          <w:rStyle w:val="FootnoteReference"/>
        </w:rPr>
        <w:footnoteReference w:id="11"/>
      </w:r>
      <w:r>
        <w:t xml:space="preserve"> </w:t>
      </w:r>
    </w:p>
    <w:p w14:paraId="17F01C6D" w14:textId="77777777" w:rsidR="006B3701" w:rsidRPr="00EF224F" w:rsidRDefault="006B3701" w:rsidP="006B3701">
      <w:pPr>
        <w:pStyle w:val="Para"/>
      </w:pPr>
      <w:r w:rsidRPr="00EF224F">
        <w:t xml:space="preserve">It is essential for the trustees to know who the beneficiaries are, so that they can ensure that the beneficiaries’ interests are properly considered. Not only must there be beneficiaries, but trustees must be conscious about their identity, or else they are, in practice, unable to perform the trust. </w:t>
      </w:r>
    </w:p>
    <w:p w14:paraId="717F4C4C" w14:textId="77777777" w:rsidR="006B3701" w:rsidRPr="00FD0A28" w:rsidRDefault="006B3701" w:rsidP="006B3701">
      <w:pPr>
        <w:pStyle w:val="Para"/>
      </w:pPr>
      <w:r w:rsidRPr="00EF224F">
        <w:t xml:space="preserve">Where trustees are given </w:t>
      </w:r>
      <w:r w:rsidR="001108B3">
        <w:t>broad</w:t>
      </w:r>
      <w:r w:rsidR="001108B3" w:rsidRPr="00EF224F">
        <w:t xml:space="preserve"> </w:t>
      </w:r>
      <w:r w:rsidRPr="00EF224F">
        <w:t>discretionary</w:t>
      </w:r>
      <w:r w:rsidRPr="00FD0A28">
        <w:t xml:space="preserve"> powers, it is not necessary for them to identify all possible beneficiaries because the trust may be drafted widely enough to include beneficiaries unborn or otherwise unidentified at the time of creation (e.g., family inheritance). Similarly, it may not be practicable to identify everybody who could be entitled at any one time; and the inability to classify the whole class would not cause the trust to fail due to lack of certainty of objects. The trustee has a duty to survey the range of beneficiaries before considering the appropriateness of distribution(s) and to determine with certainty whether an individual is or is not a member of a class</w:t>
      </w:r>
      <w:r w:rsidR="00D84FCB">
        <w:t>;</w:t>
      </w:r>
      <w:r w:rsidRPr="00FD0A28">
        <w:t xml:space="preserve"> the trustee must be able to walk up to any individual and know with certainty whether that person is or is not a person who is able to receive a benefit from the trust (i.e., </w:t>
      </w:r>
      <w:r>
        <w:t>a</w:t>
      </w:r>
      <w:r w:rsidRPr="00FD0A28">
        <w:t xml:space="preserve"> beneficiary</w:t>
      </w:r>
      <w:r>
        <w:t xml:space="preserve"> or object of </w:t>
      </w:r>
      <w:r w:rsidR="005F399C">
        <w:t xml:space="preserve">a </w:t>
      </w:r>
      <w:r>
        <w:t>power</w:t>
      </w:r>
      <w:r w:rsidRPr="00FD0A28">
        <w:t>).</w:t>
      </w:r>
    </w:p>
    <w:p w14:paraId="3B9F037C" w14:textId="77777777" w:rsidR="007D1E6D" w:rsidRPr="00515FC9" w:rsidDel="00471B00" w:rsidRDefault="007D1E6D" w:rsidP="007D1E6D">
      <w:pPr>
        <w:pStyle w:val="Heading4"/>
        <w:jc w:val="both"/>
        <w:rPr>
          <w:highlight w:val="green"/>
        </w:rPr>
      </w:pPr>
      <w:r w:rsidRPr="007D1E6D" w:rsidDel="00471B00">
        <w:t>Object of a power</w:t>
      </w:r>
    </w:p>
    <w:p w14:paraId="5E5579E5" w14:textId="77777777" w:rsidR="003B78A2" w:rsidRPr="00FD0A28" w:rsidRDefault="003B78A2" w:rsidP="003B78A2">
      <w:pPr>
        <w:pStyle w:val="Para"/>
      </w:pPr>
      <w:r w:rsidRPr="0044542D">
        <w:t xml:space="preserve">Not all trusts will have an ‘object of a power’. However, where </w:t>
      </w:r>
      <w:r>
        <w:t>they</w:t>
      </w:r>
      <w:r w:rsidRPr="0044542D">
        <w:t xml:space="preserve"> exist</w:t>
      </w:r>
      <w:r>
        <w:t>, t</w:t>
      </w:r>
      <w:r w:rsidRPr="00FD0A28">
        <w:t xml:space="preserve">here are two (cumulative) elements to the </w:t>
      </w:r>
      <w:r w:rsidRPr="00EF224F">
        <w:t>definition</w:t>
      </w:r>
      <w:r w:rsidRPr="00FD0A28">
        <w:t xml:space="preserve"> of “object of a power</w:t>
      </w:r>
      <w:r w:rsidR="001108B3">
        <w:t>”</w:t>
      </w:r>
      <w:r w:rsidRPr="00FD0A28">
        <w:t>:</w:t>
      </w:r>
    </w:p>
    <w:p w14:paraId="10323BD5" w14:textId="77777777" w:rsidR="003B78A2" w:rsidRPr="00FD0A28" w:rsidRDefault="003B78A2" w:rsidP="00885103">
      <w:pPr>
        <w:pStyle w:val="BulletedList"/>
        <w:numPr>
          <w:ilvl w:val="0"/>
          <w:numId w:val="7"/>
        </w:numPr>
      </w:pPr>
      <w:r w:rsidRPr="00FD0A28">
        <w:t xml:space="preserve">First, the person must have been identified </w:t>
      </w:r>
      <w:r w:rsidRPr="00345063">
        <w:t>by the trustee</w:t>
      </w:r>
      <w:r w:rsidRPr="00FD0A28">
        <w:t xml:space="preserve"> as a member of a class of beneficiaries, for whom there is </w:t>
      </w:r>
      <w:r w:rsidR="000C7E8E">
        <w:t>yet</w:t>
      </w:r>
      <w:r w:rsidRPr="00FD0A28">
        <w:t xml:space="preserve"> no identifiable trust property/fixed interest (i.e., possible beneficiary). Until the trustee exercises their discretionary powers, the beneficiaries </w:t>
      </w:r>
      <w:r>
        <w:t>are</w:t>
      </w:r>
      <w:r w:rsidRPr="00FD0A28">
        <w:t xml:space="preserve"> </w:t>
      </w:r>
      <w:r>
        <w:t>not more than likely to benefit</w:t>
      </w:r>
      <w:r w:rsidRPr="00FD0A28">
        <w:t xml:space="preserve">. </w:t>
      </w:r>
    </w:p>
    <w:p w14:paraId="722E1498" w14:textId="77777777" w:rsidR="003B78A2" w:rsidRPr="00221660" w:rsidRDefault="003B78A2" w:rsidP="00885103">
      <w:pPr>
        <w:pStyle w:val="BulletedList"/>
        <w:numPr>
          <w:ilvl w:val="0"/>
          <w:numId w:val="7"/>
        </w:numPr>
      </w:pPr>
      <w:r w:rsidRPr="00FD0A28">
        <w:t xml:space="preserve">Second, </w:t>
      </w:r>
      <w:r w:rsidRPr="00345063">
        <w:t>the trustee</w:t>
      </w:r>
      <w:r w:rsidRPr="00FD0A28">
        <w:t xml:space="preserve"> must have a </w:t>
      </w:r>
      <w:r w:rsidRPr="00345063">
        <w:t>clear and realistic belief</w:t>
      </w:r>
      <w:r w:rsidRPr="00FD0A28">
        <w:t xml:space="preserve"> that, under the terms of the trust, </w:t>
      </w:r>
      <w:r>
        <w:t>the</w:t>
      </w:r>
      <w:r w:rsidRPr="00FD0A28">
        <w:t xml:space="preserve"> possible beneficiary </w:t>
      </w:r>
      <w:r>
        <w:t>may</w:t>
      </w:r>
      <w:r w:rsidRPr="00FD0A28">
        <w:t>, in fact, benefit from trust property</w:t>
      </w:r>
      <w:r w:rsidRPr="00824DF0">
        <w:t xml:space="preserve"> </w:t>
      </w:r>
      <w:r>
        <w:t>in the</w:t>
      </w:r>
      <w:r w:rsidRPr="00FD0A28">
        <w:t xml:space="preserve"> future. This may be because the person is referred to in a letter of wishes (or similar) provided by the settlor. It may also be because the class has narrowed for a variety of reasons to a very small number of </w:t>
      </w:r>
      <w:r>
        <w:t>likely</w:t>
      </w:r>
      <w:r w:rsidRPr="00FD0A28">
        <w:t xml:space="preserve"> beneficiaries. </w:t>
      </w:r>
    </w:p>
    <w:p w14:paraId="6CD91097" w14:textId="77777777" w:rsidR="003B78A2" w:rsidRDefault="003B78A2" w:rsidP="003B78A2">
      <w:pPr>
        <w:pStyle w:val="Para"/>
      </w:pPr>
      <w:r w:rsidRPr="00EF224F">
        <w:t xml:space="preserve">A particular beneficiary may not be aware that they are an </w:t>
      </w:r>
      <w:r w:rsidR="00D84FCB">
        <w:t>“</w:t>
      </w:r>
      <w:r w:rsidRPr="00EF224F">
        <w:t xml:space="preserve">object of a </w:t>
      </w:r>
      <w:r w:rsidR="00D84FCB" w:rsidRPr="00EF224F">
        <w:t>power</w:t>
      </w:r>
      <w:r w:rsidR="00D84FCB">
        <w:t>”</w:t>
      </w:r>
      <w:r w:rsidRPr="00EF224F">
        <w:t xml:space="preserve"> as there may be instances where the trust instrument</w:t>
      </w:r>
      <w:r w:rsidRPr="00FD0A28">
        <w:t xml:space="preserve"> provides that a beneficiary is not to be informed of their </w:t>
      </w:r>
      <w:r>
        <w:t>likely</w:t>
      </w:r>
      <w:r w:rsidRPr="00FD0A28">
        <w:t xml:space="preserve"> entitlement until a discretion is exercised in </w:t>
      </w:r>
      <w:r>
        <w:t>their</w:t>
      </w:r>
      <w:r w:rsidRPr="00FD0A28">
        <w:t xml:space="preserve"> favour</w:t>
      </w:r>
      <w:r>
        <w:t>, until they attain a specific age, or some other occurrence</w:t>
      </w:r>
      <w:r w:rsidRPr="00FD0A28">
        <w:t xml:space="preserve">. </w:t>
      </w:r>
      <w:r>
        <w:t>There may be</w:t>
      </w:r>
      <w:r w:rsidRPr="00FD0A28">
        <w:t xml:space="preserve"> situations where it may be deemed that no beneficiaries are ascertainable at a certain point in time</w:t>
      </w:r>
      <w:r>
        <w:t xml:space="preserve"> </w:t>
      </w:r>
      <w:r w:rsidRPr="00FD0A28">
        <w:t>if no discretions have been exercised by the trustee.</w:t>
      </w:r>
    </w:p>
    <w:p w14:paraId="5E5E56FB" w14:textId="77777777" w:rsidR="003B78A2" w:rsidRPr="00EF224F" w:rsidRDefault="000C1C9A" w:rsidP="003B78A2">
      <w:pPr>
        <w:pStyle w:val="Para"/>
      </w:pPr>
      <w:r>
        <w:t>Other</w:t>
      </w:r>
      <w:r w:rsidR="003B78A2" w:rsidRPr="00EF224F">
        <w:t xml:space="preserve"> documents such as a </w:t>
      </w:r>
      <w:r w:rsidR="00FC245C">
        <w:t>l</w:t>
      </w:r>
      <w:r w:rsidR="003B78A2" w:rsidRPr="00EF224F">
        <w:t xml:space="preserve">etter of </w:t>
      </w:r>
      <w:r w:rsidR="00FC245C">
        <w:t>w</w:t>
      </w:r>
      <w:r w:rsidR="003B78A2" w:rsidRPr="00EF224F">
        <w:t xml:space="preserve">ishes, </w:t>
      </w:r>
      <w:r>
        <w:t>may</w:t>
      </w:r>
      <w:r w:rsidR="003B78A2" w:rsidRPr="00EF224F">
        <w:t xml:space="preserve"> clearly indicate a person as being a beneficiary or </w:t>
      </w:r>
      <w:r w:rsidR="007C489D">
        <w:t>‘</w:t>
      </w:r>
      <w:r w:rsidR="003B78A2" w:rsidRPr="00EF224F">
        <w:t xml:space="preserve">an object of </w:t>
      </w:r>
      <w:r w:rsidR="000C7E8E">
        <w:t xml:space="preserve">a </w:t>
      </w:r>
      <w:r w:rsidR="003B78A2" w:rsidRPr="00EF224F">
        <w:t>power</w:t>
      </w:r>
      <w:r w:rsidR="007C489D">
        <w:t>’</w:t>
      </w:r>
      <w:r w:rsidR="00D84FCB">
        <w:t>.</w:t>
      </w:r>
      <w:r w:rsidR="003B78A2" w:rsidRPr="00EF224F">
        <w:t xml:space="preserve"> </w:t>
      </w:r>
      <w:r w:rsidR="00D84FCB">
        <w:t>A</w:t>
      </w:r>
      <w:r w:rsidR="003B78A2" w:rsidRPr="00EF224F">
        <w:t xml:space="preserve">lthough </w:t>
      </w:r>
      <w:r w:rsidR="00FC245C">
        <w:t>l</w:t>
      </w:r>
      <w:r w:rsidR="003B78A2" w:rsidRPr="00EF224F">
        <w:t xml:space="preserve">etters of </w:t>
      </w:r>
      <w:r w:rsidR="00FC245C">
        <w:t>w</w:t>
      </w:r>
      <w:r w:rsidR="003B78A2" w:rsidRPr="00EF224F">
        <w:t xml:space="preserve">ishes are not binding on trustees, in practice some trust instruments may set out very generic classes of beneficiaries and then spell out in significant detail </w:t>
      </w:r>
      <w:r w:rsidR="00A631BE">
        <w:t>how</w:t>
      </w:r>
      <w:r w:rsidR="003B78A2" w:rsidRPr="00EF224F">
        <w:t xml:space="preserve"> the settlor </w:t>
      </w:r>
      <w:r w:rsidR="007C489D">
        <w:t>‘</w:t>
      </w:r>
      <w:r w:rsidR="003B78A2" w:rsidRPr="00EF224F">
        <w:t>wishes</w:t>
      </w:r>
      <w:r w:rsidR="007C489D">
        <w:t>’</w:t>
      </w:r>
      <w:r w:rsidR="003B78A2" w:rsidRPr="00EF224F">
        <w:t xml:space="preserve"> for the trustee to administer and eventually distribute the trust fund to specific individuals. Although the trustee is legally entitled to refuse the directions set out in the letter of wishes, in practice</w:t>
      </w:r>
      <w:r w:rsidR="00A631BE">
        <w:t>,</w:t>
      </w:r>
      <w:r w:rsidR="003B78A2" w:rsidRPr="00EF224F">
        <w:t xml:space="preserve"> this is generally given significant weight</w:t>
      </w:r>
      <w:r w:rsidR="00A631BE">
        <w:t>. T</w:t>
      </w:r>
      <w:r w:rsidR="003B78A2" w:rsidRPr="00EF224F">
        <w:t>herefore</w:t>
      </w:r>
      <w:r w:rsidR="00A631BE">
        <w:t>,</w:t>
      </w:r>
      <w:r w:rsidR="003B78A2" w:rsidRPr="00EF224F">
        <w:t xml:space="preserve"> any persons specifically named therein should</w:t>
      </w:r>
      <w:r w:rsidR="00A631BE">
        <w:t>,</w:t>
      </w:r>
      <w:r w:rsidR="003B78A2" w:rsidRPr="00EF224F">
        <w:t xml:space="preserve"> in principle</w:t>
      </w:r>
      <w:r w:rsidR="00A631BE">
        <w:t>,</w:t>
      </w:r>
      <w:r w:rsidR="003B78A2" w:rsidRPr="00EF224F">
        <w:t xml:space="preserve"> be deemed </w:t>
      </w:r>
      <w:r w:rsidR="007C489D">
        <w:t>“</w:t>
      </w:r>
      <w:r w:rsidR="003B78A2" w:rsidRPr="00EF224F">
        <w:t xml:space="preserve">objects of </w:t>
      </w:r>
      <w:r w:rsidR="006B3701">
        <w:t xml:space="preserve">a </w:t>
      </w:r>
      <w:r w:rsidR="003B78A2" w:rsidRPr="00EF224F">
        <w:t>power</w:t>
      </w:r>
      <w:r w:rsidR="007C489D">
        <w:t>”</w:t>
      </w:r>
      <w:r w:rsidR="003B78A2" w:rsidRPr="00EF224F">
        <w:t xml:space="preserve">.  </w:t>
      </w:r>
    </w:p>
    <w:p w14:paraId="643BCB33" w14:textId="77777777" w:rsidR="003A6712" w:rsidRPr="00AD5195" w:rsidRDefault="003A6712" w:rsidP="003A6712">
      <w:pPr>
        <w:pStyle w:val="Heading1"/>
        <w:numPr>
          <w:ilvl w:val="0"/>
          <w:numId w:val="4"/>
        </w:numPr>
        <w:ind w:right="680"/>
        <w:jc w:val="both"/>
      </w:pPr>
      <w:bookmarkStart w:id="11" w:name="_Toc145618530"/>
      <w:bookmarkStart w:id="12" w:name="_Toc149217164"/>
      <w:r w:rsidRPr="00FD0A28">
        <w:lastRenderedPageBreak/>
        <w:t>Understanding and assessing the risks associated with</w:t>
      </w:r>
      <w:r w:rsidR="00E075A8">
        <w:t xml:space="preserve"> trusts and similar</w:t>
      </w:r>
      <w:r w:rsidRPr="00FD0A28">
        <w:t xml:space="preserve"> legal </w:t>
      </w:r>
      <w:bookmarkStart w:id="13" w:name="_Hlk135143477"/>
      <w:bookmarkEnd w:id="11"/>
      <w:proofErr w:type="gramStart"/>
      <w:r w:rsidR="002E54C6" w:rsidRPr="00FD0A28">
        <w:t>arrangements</w:t>
      </w:r>
      <w:bookmarkEnd w:id="12"/>
      <w:proofErr w:type="gramEnd"/>
    </w:p>
    <w:p w14:paraId="64EF5292" w14:textId="77777777" w:rsidR="007379BE" w:rsidRDefault="007379BE" w:rsidP="007379BE">
      <w:pPr>
        <w:pStyle w:val="Para"/>
      </w:pPr>
      <w:bookmarkStart w:id="14" w:name="_Toc145618531"/>
      <w:r>
        <w:t>Understanding the ML/TF risks associated with trusts and similar legal arrangements requires the assessment of their nature and context. In most instances the ML/TF risks are commonly associated with the ways in which these instruments can represent obstacles to transparency including</w:t>
      </w:r>
      <w:r w:rsidR="00A32829">
        <w:t>, but not limited to</w:t>
      </w:r>
      <w:r>
        <w:t>:</w:t>
      </w:r>
    </w:p>
    <w:p w14:paraId="4C3F8C38" w14:textId="77777777" w:rsidR="007379BE" w:rsidRDefault="007379BE" w:rsidP="007379BE">
      <w:pPr>
        <w:pStyle w:val="BulletedList"/>
      </w:pPr>
      <w:r>
        <w:t>The private nature of the arrangements</w:t>
      </w:r>
      <w:r w:rsidR="003B78A2">
        <w:t>.</w:t>
      </w:r>
    </w:p>
    <w:p w14:paraId="3CF330BD" w14:textId="77777777" w:rsidR="00C171C0" w:rsidRDefault="00C171C0" w:rsidP="00C171C0">
      <w:pPr>
        <w:pStyle w:val="BulletedList"/>
      </w:pPr>
      <w:r>
        <w:t xml:space="preserve">Choice of </w:t>
      </w:r>
      <w:r w:rsidR="006E28AF">
        <w:t>l</w:t>
      </w:r>
      <w:r>
        <w:t>aw</w:t>
      </w:r>
      <w:r w:rsidR="003B78A2">
        <w:t>.</w:t>
      </w:r>
    </w:p>
    <w:p w14:paraId="58A187D1" w14:textId="77777777" w:rsidR="007379BE" w:rsidRDefault="007379BE" w:rsidP="007379BE">
      <w:pPr>
        <w:pStyle w:val="BulletedList"/>
      </w:pPr>
      <w:r>
        <w:t>Ease of formation</w:t>
      </w:r>
      <w:r w:rsidR="003B78A2">
        <w:t>.</w:t>
      </w:r>
    </w:p>
    <w:p w14:paraId="47E44FDE" w14:textId="77777777" w:rsidR="007379BE" w:rsidRDefault="007379BE" w:rsidP="007379BE">
      <w:pPr>
        <w:pStyle w:val="BulletedList"/>
      </w:pPr>
      <w:r>
        <w:t>Flexibility</w:t>
      </w:r>
      <w:r w:rsidR="003B78A2">
        <w:t>.</w:t>
      </w:r>
    </w:p>
    <w:p w14:paraId="1CD8C38E" w14:textId="77777777" w:rsidR="007379BE" w:rsidRDefault="007379BE" w:rsidP="007379BE">
      <w:pPr>
        <w:pStyle w:val="BulletedList"/>
      </w:pPr>
      <w:r>
        <w:t>Coincidence of several parties to the trust</w:t>
      </w:r>
      <w:r w:rsidR="003B78A2">
        <w:t>.</w:t>
      </w:r>
    </w:p>
    <w:p w14:paraId="42D2D223" w14:textId="77777777" w:rsidR="007379BE" w:rsidRDefault="007379BE" w:rsidP="007379BE">
      <w:pPr>
        <w:pStyle w:val="BulletedList"/>
      </w:pPr>
      <w:r>
        <w:t>Flee clause</w:t>
      </w:r>
      <w:r w:rsidR="003B78A2">
        <w:t>.</w:t>
      </w:r>
    </w:p>
    <w:p w14:paraId="2CD4615B" w14:textId="77777777" w:rsidR="00C171C0" w:rsidRDefault="00C171C0" w:rsidP="00C171C0">
      <w:pPr>
        <w:pStyle w:val="BulletedList"/>
      </w:pPr>
      <w:r>
        <w:t xml:space="preserve">Protection of </w:t>
      </w:r>
      <w:r w:rsidR="006E28AF">
        <w:t>a</w:t>
      </w:r>
      <w:r>
        <w:t>ssets</w:t>
      </w:r>
      <w:r w:rsidR="003B78A2">
        <w:t>.</w:t>
      </w:r>
    </w:p>
    <w:p w14:paraId="6AA7B553" w14:textId="77777777" w:rsidR="00C171C0" w:rsidRDefault="00C171C0" w:rsidP="00C171C0">
      <w:pPr>
        <w:pStyle w:val="Para"/>
      </w:pPr>
      <w:r>
        <w:t xml:space="preserve">Moreover, ML/TF risks </w:t>
      </w:r>
      <w:r w:rsidR="002502B7">
        <w:t>associate</w:t>
      </w:r>
      <w:r w:rsidR="00A439EC">
        <w:t>d</w:t>
      </w:r>
      <w:r w:rsidR="002502B7">
        <w:t xml:space="preserve"> with</w:t>
      </w:r>
      <w:r>
        <w:t xml:space="preserve"> trust</w:t>
      </w:r>
      <w:r w:rsidR="00251463">
        <w:t>s</w:t>
      </w:r>
      <w:r>
        <w:t xml:space="preserve"> sometimes derive from the m</w:t>
      </w:r>
      <w:r w:rsidR="00AC6451">
        <w:t>ultiple layers and distance that can be created between the beneficiary and the other parties to the legal arrangements</w:t>
      </w:r>
      <w:r>
        <w:t>; as well as the multi-jurisdictional elements that increase challenges for identification</w:t>
      </w:r>
      <w:r w:rsidR="004C110E">
        <w:t xml:space="preserve">, overall collection and verification </w:t>
      </w:r>
      <w:r w:rsidR="00251463">
        <w:t xml:space="preserve">of </w:t>
      </w:r>
      <w:r w:rsidR="004C110E">
        <w:t>information</w:t>
      </w:r>
      <w:r w:rsidR="00A439EC">
        <w:t>,</w:t>
      </w:r>
      <w:r>
        <w:t xml:space="preserve"> and international co</w:t>
      </w:r>
      <w:r w:rsidR="00A43F30">
        <w:t>-</w:t>
      </w:r>
      <w:r>
        <w:t xml:space="preserve">operation (e.g. </w:t>
      </w:r>
      <w:r w:rsidR="004C110E">
        <w:t xml:space="preserve">whenever the </w:t>
      </w:r>
      <w:r>
        <w:t>place of administration, location of the trust asset, and residence</w:t>
      </w:r>
      <w:r w:rsidR="00C74D28">
        <w:rPr>
          <w:rStyle w:val="FootnoteReference"/>
        </w:rPr>
        <w:footnoteReference w:id="12"/>
      </w:r>
      <w:r>
        <w:t xml:space="preserve"> of the trustee are in separate jurisdictions).</w:t>
      </w:r>
      <w:r w:rsidRPr="0077792D">
        <w:t xml:space="preserve"> </w:t>
      </w:r>
    </w:p>
    <w:p w14:paraId="3EE4261E" w14:textId="77777777" w:rsidR="003A6712" w:rsidRPr="0094455D" w:rsidRDefault="003A6712" w:rsidP="00EE63C7">
      <w:pPr>
        <w:pStyle w:val="Heading2"/>
      </w:pPr>
      <w:bookmarkStart w:id="15" w:name="_Toc149217165"/>
      <w:r w:rsidRPr="0094455D">
        <w:t>Priva</w:t>
      </w:r>
      <w:r>
        <w:t>te nature of the arrangement</w:t>
      </w:r>
      <w:bookmarkEnd w:id="14"/>
      <w:bookmarkEnd w:id="15"/>
    </w:p>
    <w:p w14:paraId="51971521" w14:textId="77777777" w:rsidR="003A6712" w:rsidRPr="007811AC" w:rsidRDefault="003A6712" w:rsidP="001F61E3">
      <w:pPr>
        <w:pStyle w:val="Para"/>
      </w:pPr>
      <w:r w:rsidRPr="007811AC">
        <w:t xml:space="preserve">One of the key features of trusts </w:t>
      </w:r>
      <w:r>
        <w:t xml:space="preserve">and other similar legal arrangements </w:t>
      </w:r>
      <w:r w:rsidRPr="007811AC">
        <w:t xml:space="preserve">that makes them vulnerable to misuse lies in their greater degree of privacy than </w:t>
      </w:r>
      <w:r w:rsidR="005B4BF0">
        <w:t>alternative instruments</w:t>
      </w:r>
      <w:r w:rsidRPr="007811AC">
        <w:t xml:space="preserve">. Trusts are essentially relationships </w:t>
      </w:r>
      <w:r w:rsidRPr="007811AC">
        <w:rPr>
          <w:rFonts w:eastAsia="Calibri"/>
          <w:lang w:val="en-IE"/>
        </w:rPr>
        <w:t>among</w:t>
      </w:r>
      <w:r w:rsidRPr="007811AC">
        <w:t xml:space="preserve"> persons</w:t>
      </w:r>
      <w:r>
        <w:t xml:space="preserve"> – specifically, an agreement between the settlor and the trustee to administer the trust property for the benefit of trust beneficiaries</w:t>
      </w:r>
      <w:r w:rsidRPr="007811AC">
        <w:t>. The same applies to similar arrangements, many of which have developed without a specific legal framework</w:t>
      </w:r>
      <w:r w:rsidR="00251463">
        <w:t>.</w:t>
      </w:r>
      <w:r w:rsidRPr="007811AC">
        <w:t xml:space="preserve"> </w:t>
      </w:r>
      <w:r w:rsidR="00B35251">
        <w:t>The terms of a contract are generally private between the parties</w:t>
      </w:r>
      <w:r w:rsidR="00A43F30">
        <w:t>,</w:t>
      </w:r>
      <w:r w:rsidR="00B35251">
        <w:t xml:space="preserve"> and in some trusts and legal arrangements the terms or even the existence of the trust may be private from some of the parties. For example, a trust established for a child when he</w:t>
      </w:r>
      <w:r w:rsidR="00A43F30">
        <w:t>/</w:t>
      </w:r>
      <w:r w:rsidR="00B35251">
        <w:t>she becomes an adult.</w:t>
      </w:r>
    </w:p>
    <w:p w14:paraId="2C1270BA" w14:textId="77777777" w:rsidR="003A6712" w:rsidRPr="007811AC" w:rsidRDefault="003A6712" w:rsidP="001F61E3">
      <w:pPr>
        <w:pStyle w:val="Para"/>
      </w:pPr>
      <w:r w:rsidRPr="007811AC">
        <w:t xml:space="preserve">Given the private nature of such arrangements, regulatory requirements applicable to trusts or </w:t>
      </w:r>
      <w:r>
        <w:t>similar</w:t>
      </w:r>
      <w:r w:rsidRPr="007811AC">
        <w:t xml:space="preserve"> legal </w:t>
      </w:r>
      <w:r w:rsidRPr="007811AC">
        <w:rPr>
          <w:rFonts w:eastAsia="Calibri"/>
          <w:lang w:val="en-IE"/>
        </w:rPr>
        <w:t>arrangements</w:t>
      </w:r>
      <w:r w:rsidRPr="007811AC">
        <w:t xml:space="preserve"> are generally not comparable to those in place for legal </w:t>
      </w:r>
      <w:r>
        <w:t>persons</w:t>
      </w:r>
      <w:r w:rsidRPr="007811AC">
        <w:t xml:space="preserve"> (some exceptions exist </w:t>
      </w:r>
      <w:r w:rsidR="00907763">
        <w:t>concerning</w:t>
      </w:r>
      <w:r w:rsidRPr="007811AC">
        <w:t xml:space="preserve"> similar legal arrangements such as the </w:t>
      </w:r>
      <w:proofErr w:type="spellStart"/>
      <w:r w:rsidRPr="007811AC">
        <w:rPr>
          <w:i/>
        </w:rPr>
        <w:t>fiducie</w:t>
      </w:r>
      <w:proofErr w:type="spellEnd"/>
      <w:r w:rsidRPr="007811AC">
        <w:t xml:space="preserve">). Registration of trusts and other legal arrangements is also not always required, with some </w:t>
      </w:r>
      <w:r w:rsidRPr="001F61E3">
        <w:t>exceptions</w:t>
      </w:r>
      <w:r w:rsidRPr="007811AC">
        <w:t xml:space="preserve"> (</w:t>
      </w:r>
      <w:r w:rsidR="002E54C6" w:rsidRPr="007811AC">
        <w:t>e.g.,</w:t>
      </w:r>
      <w:r w:rsidRPr="007811AC">
        <w:t xml:space="preserve"> tax purposes, specific trusts set up in </w:t>
      </w:r>
      <w:r>
        <w:t>financial</w:t>
      </w:r>
      <w:r w:rsidRPr="007811AC">
        <w:t xml:space="preserve"> centres, or other specific registration requirements such as in the context of Waqf).</w:t>
      </w:r>
    </w:p>
    <w:p w14:paraId="5A7B4BF6" w14:textId="77777777" w:rsidR="003A6712" w:rsidRPr="00AD5195" w:rsidRDefault="003A6712" w:rsidP="001F61E3">
      <w:pPr>
        <w:pStyle w:val="Para"/>
      </w:pPr>
      <w:r w:rsidRPr="007811AC">
        <w:t xml:space="preserve">Given the private nature of trusts, the identity of the parties is </w:t>
      </w:r>
      <w:r>
        <w:t xml:space="preserve">usually only </w:t>
      </w:r>
      <w:r w:rsidRPr="007811AC">
        <w:t>disclosed</w:t>
      </w:r>
      <w:r>
        <w:t xml:space="preserve"> by the trustee</w:t>
      </w:r>
      <w:r w:rsidRPr="007811AC">
        <w:t xml:space="preserve"> to </w:t>
      </w:r>
      <w:r>
        <w:t xml:space="preserve">FIs, </w:t>
      </w:r>
      <w:r w:rsidRPr="001F61E3">
        <w:t>DNFBPs</w:t>
      </w:r>
      <w:r w:rsidR="00907763">
        <w:t>,</w:t>
      </w:r>
      <w:r>
        <w:t xml:space="preserve"> and competent </w:t>
      </w:r>
      <w:r w:rsidRPr="007811AC">
        <w:t xml:space="preserve">authorities. In some </w:t>
      </w:r>
      <w:r>
        <w:rPr>
          <w:rFonts w:eastAsia="Calibri"/>
          <w:lang w:val="en-IE"/>
        </w:rPr>
        <w:t>countries,</w:t>
      </w:r>
      <w:r w:rsidRPr="007811AC">
        <w:t xml:space="preserve"> particularly restrictive conditions might render the identification of the parties to the trusts extremely </w:t>
      </w:r>
      <w:r w:rsidRPr="007811AC">
        <w:lastRenderedPageBreak/>
        <w:t>difficult, hampering international co</w:t>
      </w:r>
      <w:r w:rsidR="00907763">
        <w:t>-</w:t>
      </w:r>
      <w:r w:rsidRPr="007811AC">
        <w:t>operation when it comes to exchanging information on the identity of those parties.</w:t>
      </w:r>
    </w:p>
    <w:p w14:paraId="471E05A4" w14:textId="77777777" w:rsidR="00C171C0" w:rsidRPr="00A82363" w:rsidRDefault="00C171C0" w:rsidP="00EE63C7">
      <w:pPr>
        <w:pStyle w:val="Heading3"/>
      </w:pPr>
      <w:r w:rsidRPr="00A82363">
        <w:t xml:space="preserve">Choice </w:t>
      </w:r>
      <w:r w:rsidRPr="000E6671">
        <w:t>of</w:t>
      </w:r>
      <w:r w:rsidRPr="00A82363">
        <w:t xml:space="preserve"> law</w:t>
      </w:r>
    </w:p>
    <w:p w14:paraId="65CB4648" w14:textId="77777777" w:rsidR="00C171C0" w:rsidRPr="007811AC" w:rsidRDefault="00C171C0" w:rsidP="00C171C0">
      <w:pPr>
        <w:pStyle w:val="Para"/>
      </w:pPr>
      <w:r w:rsidRPr="007811AC">
        <w:t>Article 6 of the Hague Convention notes</w:t>
      </w:r>
      <w:r w:rsidR="00907763">
        <w:t xml:space="preserve"> that</w:t>
      </w:r>
      <w:r w:rsidRPr="007811AC">
        <w:t xml:space="preserve"> a trust is governed by the law chosen by the settlor, </w:t>
      </w:r>
      <w:r w:rsidRPr="00EF224F">
        <w:t>whether</w:t>
      </w:r>
      <w:r w:rsidRPr="007811AC">
        <w:t xml:space="preserve"> implicitly or explicitly. This means that settlors remain free to </w:t>
      </w:r>
      <w:r w:rsidRPr="00AC6451">
        <w:t>choose under which legal framework to create a trust and</w:t>
      </w:r>
      <w:r w:rsidR="00907763">
        <w:t>,</w:t>
      </w:r>
      <w:r w:rsidRPr="00AC6451">
        <w:t xml:space="preserve"> therefore</w:t>
      </w:r>
      <w:r w:rsidR="00907763">
        <w:t>,</w:t>
      </w:r>
      <w:r w:rsidRPr="00AC6451">
        <w:t xml:space="preserve"> the associated safeguards.</w:t>
      </w:r>
    </w:p>
    <w:p w14:paraId="425432F7" w14:textId="77777777" w:rsidR="003A6712" w:rsidRPr="00EF224F" w:rsidRDefault="003A6712" w:rsidP="00EE63C7">
      <w:pPr>
        <w:pStyle w:val="Heading3"/>
      </w:pPr>
      <w:r w:rsidRPr="0094455D">
        <w:t xml:space="preserve">Ease of </w:t>
      </w:r>
      <w:r w:rsidR="00445380" w:rsidRPr="00EF224F">
        <w:t xml:space="preserve">formation </w:t>
      </w:r>
    </w:p>
    <w:p w14:paraId="3333FC68" w14:textId="77777777" w:rsidR="003A6712" w:rsidRDefault="003A6712" w:rsidP="00EF224F">
      <w:pPr>
        <w:pStyle w:val="Para"/>
      </w:pPr>
      <w:r w:rsidRPr="00EF224F">
        <w:t xml:space="preserve">The </w:t>
      </w:r>
      <w:r w:rsidR="00445380" w:rsidRPr="00EF224F">
        <w:t xml:space="preserve">formation </w:t>
      </w:r>
      <w:r w:rsidRPr="00EF224F">
        <w:t xml:space="preserve">of the legal arrangement </w:t>
      </w:r>
      <w:r w:rsidR="00A32829">
        <w:t>may be</w:t>
      </w:r>
      <w:r w:rsidR="00A32829" w:rsidRPr="00EF224F">
        <w:t xml:space="preserve"> </w:t>
      </w:r>
      <w:r w:rsidRPr="00EF224F">
        <w:t>relatively simple, as it may involve the simple drawing up of a trust agreement</w:t>
      </w:r>
      <w:r w:rsidR="006C6CE7">
        <w:t>,</w:t>
      </w:r>
      <w:r w:rsidRPr="00EF224F">
        <w:t xml:space="preserve"> </w:t>
      </w:r>
      <w:r w:rsidR="00B35251">
        <w:t xml:space="preserve">usually </w:t>
      </w:r>
      <w:r w:rsidRPr="00EF224F">
        <w:t>by a notary or lawyer. Combined with greater degree of privacy of the trusts to the extent that they are not always subject to registration, the simplicity of creating a trust makes it possible to transfer the legal and equitable ownership of assets without making that transfer</w:t>
      </w:r>
      <w:r>
        <w:t xml:space="preserve"> open to public knowledge. Beneficiaries of the trust </w:t>
      </w:r>
      <w:r w:rsidRPr="00EF224F">
        <w:t>may</w:t>
      </w:r>
      <w:r>
        <w:t xml:space="preserve"> not be aware of their status </w:t>
      </w:r>
      <w:r w:rsidR="00E945F4">
        <w:t xml:space="preserve">in </w:t>
      </w:r>
      <w:r w:rsidR="00E21FE1">
        <w:t>some</w:t>
      </w:r>
      <w:r w:rsidR="006C6CE7">
        <w:t xml:space="preserve"> </w:t>
      </w:r>
      <w:r w:rsidR="00E945F4">
        <w:t>cases.</w:t>
      </w:r>
    </w:p>
    <w:p w14:paraId="6C66F0FA" w14:textId="77777777" w:rsidR="003A6712" w:rsidRPr="0094455D" w:rsidRDefault="003A6712" w:rsidP="00EE63C7">
      <w:pPr>
        <w:pStyle w:val="Heading3"/>
        <w:rPr>
          <w:szCs w:val="24"/>
        </w:rPr>
      </w:pPr>
      <w:r w:rsidRPr="000E6671">
        <w:t>Flexibility</w:t>
      </w:r>
    </w:p>
    <w:p w14:paraId="4437A6CC" w14:textId="77777777" w:rsidR="003A6712" w:rsidRPr="007811AC" w:rsidRDefault="003A6712" w:rsidP="00E945F4">
      <w:pPr>
        <w:pStyle w:val="Para"/>
      </w:pPr>
      <w:r w:rsidRPr="007811AC">
        <w:t xml:space="preserve">The fact that trusts and other legal arrangements can generally be created by a simple </w:t>
      </w:r>
      <w:r>
        <w:t xml:space="preserve">agreement </w:t>
      </w:r>
      <w:r w:rsidRPr="007811AC">
        <w:t xml:space="preserve">(or equivalent document) </w:t>
      </w:r>
      <w:r w:rsidR="00B35251">
        <w:t xml:space="preserve">subject to freedom to contract </w:t>
      </w:r>
      <w:r w:rsidRPr="007811AC">
        <w:t xml:space="preserve">makes the trust a very </w:t>
      </w:r>
      <w:r w:rsidRPr="00E945F4">
        <w:t>flexible</w:t>
      </w:r>
      <w:r w:rsidRPr="007811AC">
        <w:t xml:space="preserve"> vehicle for the management of assets. </w:t>
      </w:r>
      <w:r>
        <w:t>They are designed to be flexible because they are intended to administer the trust assets for the benefit of the trust beneficiaries who might change</w:t>
      </w:r>
      <w:r w:rsidR="00A32829">
        <w:t xml:space="preserve"> over time</w:t>
      </w:r>
      <w:r w:rsidR="00251463">
        <w:t>,</w:t>
      </w:r>
      <w:r>
        <w:t xml:space="preserve"> as </w:t>
      </w:r>
      <w:r w:rsidR="00251463">
        <w:t>might</w:t>
      </w:r>
      <w:r>
        <w:t xml:space="preserve"> their interests and needs, often in unanticipated ways. </w:t>
      </w:r>
      <w:r w:rsidRPr="007811AC">
        <w:t>Among the main flexibility elements that are of relevance for AML/CFT purposes are:</w:t>
      </w:r>
    </w:p>
    <w:p w14:paraId="2606C33E" w14:textId="77777777" w:rsidR="003A6712" w:rsidRPr="00E945F4" w:rsidRDefault="003A6712" w:rsidP="00E945F4">
      <w:pPr>
        <w:pStyle w:val="BulletedList"/>
      </w:pPr>
      <w:r w:rsidRPr="00E945F4">
        <w:t>The possibility for trust agreements not to include the names of all parties of the trust</w:t>
      </w:r>
      <w:r w:rsidR="00B35251" w:rsidRPr="00E945F4">
        <w:t xml:space="preserve"> means that they can be easily changed without any disclosure or notification</w:t>
      </w:r>
      <w:r w:rsidRPr="00E945F4">
        <w:t xml:space="preserve"> (this </w:t>
      </w:r>
      <w:r w:rsidR="00D22FC9" w:rsidRPr="00E945F4">
        <w:t xml:space="preserve">is </w:t>
      </w:r>
      <w:r w:rsidRPr="00E945F4">
        <w:t>irrespective of the duty of the trustee to retain a minimum set of information on all parties to the trust)</w:t>
      </w:r>
      <w:r w:rsidR="002E54C6">
        <w:t>.</w:t>
      </w:r>
    </w:p>
    <w:p w14:paraId="6C7CE0E9" w14:textId="77777777" w:rsidR="003A6712" w:rsidRPr="00E945F4" w:rsidRDefault="003A6712" w:rsidP="00E945F4">
      <w:pPr>
        <w:pStyle w:val="BulletedList"/>
      </w:pPr>
      <w:r w:rsidRPr="00E945F4">
        <w:t>The possibility for the settlor to retain control over the trust (without expressly retaining rights in the trust agreement)</w:t>
      </w:r>
      <w:r w:rsidR="004E77B7">
        <w:t>,</w:t>
      </w:r>
      <w:r w:rsidRPr="00E945F4">
        <w:t xml:space="preserve"> </w:t>
      </w:r>
      <w:r w:rsidR="00B35251" w:rsidRPr="00E945F4">
        <w:t xml:space="preserve">for example </w:t>
      </w:r>
      <w:r w:rsidRPr="00E945F4">
        <w:t xml:space="preserve">by </w:t>
      </w:r>
      <w:r w:rsidR="00B35251" w:rsidRPr="00E945F4">
        <w:t xml:space="preserve">revoking the trust or </w:t>
      </w:r>
      <w:r w:rsidRPr="00E945F4">
        <w:t xml:space="preserve">appointing a protector who is given certain powers over the trust, ostensibly in accordance with the wishes of the settlor who no longer has such authority over the trustee.   </w:t>
      </w:r>
    </w:p>
    <w:p w14:paraId="0DCD3E1D" w14:textId="77777777" w:rsidR="003A6712" w:rsidRPr="00E945F4" w:rsidRDefault="003A6712" w:rsidP="00E945F4">
      <w:pPr>
        <w:pStyle w:val="BulletedList"/>
      </w:pPr>
      <w:r w:rsidRPr="00E945F4">
        <w:t>The ability to shield trust assets from the beneficiaries</w:t>
      </w:r>
      <w:r w:rsidR="004E77B7">
        <w:t>’ creditors</w:t>
      </w:r>
      <w:r w:rsidRPr="00E945F4">
        <w:t xml:space="preserve"> (other than the settlor).</w:t>
      </w:r>
    </w:p>
    <w:p w14:paraId="15D48E91" w14:textId="77777777" w:rsidR="003A6712" w:rsidRPr="00E945F4" w:rsidRDefault="003A6712" w:rsidP="00E945F4">
      <w:pPr>
        <w:pStyle w:val="BulletedList"/>
      </w:pPr>
      <w:r w:rsidRPr="00E945F4">
        <w:t xml:space="preserve">The power given to a trustee or others to name future beneficiaries of the trust, </w:t>
      </w:r>
      <w:r w:rsidR="004E77B7">
        <w:t xml:space="preserve">whether </w:t>
      </w:r>
      <w:r w:rsidRPr="00E945F4">
        <w:t xml:space="preserve">limited to members of a described class </w:t>
      </w:r>
      <w:r w:rsidR="004E77B7">
        <w:t xml:space="preserve">or </w:t>
      </w:r>
      <w:r w:rsidRPr="00E945F4">
        <w:t>unlimited.</w:t>
      </w:r>
    </w:p>
    <w:p w14:paraId="166E14B7" w14:textId="77777777" w:rsidR="003A6712" w:rsidRPr="00E945F4" w:rsidRDefault="003A6712" w:rsidP="00E945F4">
      <w:pPr>
        <w:pStyle w:val="BulletedList"/>
      </w:pPr>
      <w:r w:rsidRPr="00E945F4">
        <w:t>The possibility for purpose trusts (</w:t>
      </w:r>
      <w:r w:rsidR="00A32829" w:rsidRPr="00E945F4">
        <w:t>i.e.,</w:t>
      </w:r>
      <w:r w:rsidRPr="00E945F4">
        <w:t xml:space="preserve"> without beneficiaries/class of beneficiaries) to be set up also in the case of </w:t>
      </w:r>
      <w:r w:rsidR="00D22FC9" w:rsidRPr="00E945F4">
        <w:t xml:space="preserve">statutory permitted </w:t>
      </w:r>
      <w:r w:rsidRPr="00E945F4">
        <w:t>non-charitable trusts</w:t>
      </w:r>
      <w:r w:rsidR="00B35251" w:rsidRPr="00E945F4">
        <w:t>.</w:t>
      </w:r>
    </w:p>
    <w:p w14:paraId="181D6143" w14:textId="77777777" w:rsidR="003A6712" w:rsidRPr="00E945F4" w:rsidRDefault="003A6712" w:rsidP="00E945F4">
      <w:pPr>
        <w:pStyle w:val="BulletedList"/>
      </w:pPr>
      <w:r w:rsidRPr="00E945F4">
        <w:t>The possibility for the settlor to retain a right to revoke the trust and reacquire the trust assets.</w:t>
      </w:r>
    </w:p>
    <w:p w14:paraId="3A290455" w14:textId="77777777" w:rsidR="00B35251" w:rsidRPr="00E945F4" w:rsidRDefault="00B35251" w:rsidP="00E945F4">
      <w:pPr>
        <w:pStyle w:val="BulletedList"/>
      </w:pPr>
      <w:r w:rsidRPr="00E945F4">
        <w:t>The ease with which the legal owner of the assets can be changed (either through appointing a new trustee or distributing to a beneficiary).</w:t>
      </w:r>
    </w:p>
    <w:p w14:paraId="5298052C" w14:textId="77777777" w:rsidR="003A6712" w:rsidRPr="00EF224F" w:rsidRDefault="003A6712" w:rsidP="00E945F4">
      <w:pPr>
        <w:pStyle w:val="Para"/>
      </w:pPr>
      <w:r w:rsidRPr="00EF224F">
        <w:t xml:space="preserve">Many of the above elements are found in ML/TF cases involving trusts, although not all are available in the law or case law surrounding trusts in all cases. The vulnerabilities </w:t>
      </w:r>
      <w:r w:rsidRPr="00EF224F">
        <w:lastRenderedPageBreak/>
        <w:t>increase with the higher number of flexibility elements allowed by national law (or case law) to be included in the actual trust.</w:t>
      </w:r>
    </w:p>
    <w:p w14:paraId="2D0B5016" w14:textId="77777777" w:rsidR="003A6712" w:rsidRPr="0000438D" w:rsidRDefault="003A6712" w:rsidP="00EE63C7">
      <w:pPr>
        <w:pStyle w:val="Heading3"/>
      </w:pPr>
      <w:r w:rsidRPr="000E6671">
        <w:t>Coincidence</w:t>
      </w:r>
      <w:r w:rsidRPr="00A82363">
        <w:t xml:space="preserve"> of several parties to the trust</w:t>
      </w:r>
    </w:p>
    <w:p w14:paraId="260C336F" w14:textId="77777777" w:rsidR="003A6712" w:rsidRPr="00AB28E0" w:rsidRDefault="003A6712" w:rsidP="00AB28E0">
      <w:pPr>
        <w:pStyle w:val="Para"/>
      </w:pPr>
      <w:r w:rsidRPr="00AB28E0">
        <w:t xml:space="preserve">Rules on how many roles in a trust the same person can have (settlor, trustee, </w:t>
      </w:r>
      <w:r w:rsidR="00760DED">
        <w:t xml:space="preserve">and </w:t>
      </w:r>
      <w:r w:rsidRPr="00AB28E0">
        <w:t xml:space="preserve">beneficiary) vary according to the different legal frameworks. </w:t>
      </w:r>
      <w:r w:rsidR="00760DED">
        <w:t>A</w:t>
      </w:r>
      <w:r w:rsidRPr="00AB28E0">
        <w:t xml:space="preserve"> certain level of flexibility is allowed for trusts, particularly </w:t>
      </w:r>
      <w:r w:rsidRPr="00C74D28">
        <w:rPr>
          <w:i/>
          <w:iCs/>
        </w:rPr>
        <w:t xml:space="preserve">inter </w:t>
      </w:r>
      <w:proofErr w:type="spellStart"/>
      <w:r w:rsidRPr="00C74D28">
        <w:rPr>
          <w:i/>
          <w:iCs/>
        </w:rPr>
        <w:t>vivos</w:t>
      </w:r>
      <w:proofErr w:type="spellEnd"/>
      <w:r w:rsidRPr="00AB28E0">
        <w:t xml:space="preserve">, where the settlor also acts as the trustee or one of the trustees, or as protector or one of the protectors. However, a situation where the settlor coincides with the beneficiary (particularly if it is the only beneficiary) </w:t>
      </w:r>
      <w:r w:rsidR="003E532B" w:rsidRPr="00AB28E0">
        <w:t>may trigger the need for additional focus on the</w:t>
      </w:r>
      <w:r w:rsidR="00760DED">
        <w:t xml:space="preserve"> trust’s</w:t>
      </w:r>
      <w:r w:rsidR="003E532B" w:rsidRPr="00AB28E0">
        <w:t xml:space="preserve"> purpose. </w:t>
      </w:r>
      <w:r w:rsidRPr="00AB28E0">
        <w:t xml:space="preserve">  </w:t>
      </w:r>
    </w:p>
    <w:p w14:paraId="3D1E0231" w14:textId="77777777" w:rsidR="003A6712" w:rsidRPr="00A82363" w:rsidRDefault="003A6712" w:rsidP="00EE63C7">
      <w:pPr>
        <w:pStyle w:val="Heading3"/>
      </w:pPr>
      <w:r w:rsidRPr="00A82363">
        <w:t xml:space="preserve">Flee </w:t>
      </w:r>
      <w:proofErr w:type="gramStart"/>
      <w:r w:rsidRPr="00A82363">
        <w:t>clause</w:t>
      </w:r>
      <w:proofErr w:type="gramEnd"/>
    </w:p>
    <w:p w14:paraId="4346D59C" w14:textId="77777777" w:rsidR="003E532B" w:rsidRPr="003E532B" w:rsidRDefault="003A6712" w:rsidP="00AB28E0">
      <w:pPr>
        <w:pStyle w:val="Para"/>
        <w:rPr>
          <w:lang w:val="en-IE"/>
        </w:rPr>
      </w:pPr>
      <w:r w:rsidRPr="003E532B">
        <w:rPr>
          <w:lang w:val="en-IE"/>
        </w:rPr>
        <w:t xml:space="preserve">A flee clause is a clause in a trust instrument </w:t>
      </w:r>
      <w:r w:rsidR="00E62BD0">
        <w:rPr>
          <w:lang w:val="en-IE"/>
        </w:rPr>
        <w:t>that</w:t>
      </w:r>
      <w:r w:rsidRPr="003E532B">
        <w:rPr>
          <w:lang w:val="en-IE"/>
        </w:rPr>
        <w:t xml:space="preserve">, once a </w:t>
      </w:r>
      <w:r w:rsidR="00E62BD0">
        <w:rPr>
          <w:lang w:val="en-IE"/>
        </w:rPr>
        <w:t>specific</w:t>
      </w:r>
      <w:r w:rsidR="00E62BD0" w:rsidRPr="003E532B">
        <w:rPr>
          <w:lang w:val="en-IE"/>
        </w:rPr>
        <w:t xml:space="preserve"> </w:t>
      </w:r>
      <w:r w:rsidRPr="003E532B">
        <w:rPr>
          <w:lang w:val="en-IE"/>
        </w:rPr>
        <w:t xml:space="preserve">event occurs, triggers the </w:t>
      </w:r>
      <w:r w:rsidR="00B35251">
        <w:rPr>
          <w:lang w:val="en-IE"/>
        </w:rPr>
        <w:t>removal</w:t>
      </w:r>
      <w:r w:rsidR="00B35251" w:rsidRPr="003E532B">
        <w:rPr>
          <w:lang w:val="en-IE"/>
        </w:rPr>
        <w:t xml:space="preserve"> </w:t>
      </w:r>
      <w:r w:rsidRPr="003E532B">
        <w:rPr>
          <w:lang w:val="en-IE"/>
        </w:rPr>
        <w:t xml:space="preserve">of the trustee and the transfer of the trust to another trustee in a different jurisdiction. The clause, less common in modern trusts, was used to protect the assets against insecurity generated by either the trustee or the jurisdiction under whose law the trust was created. Examples of trigger </w:t>
      </w:r>
      <w:r w:rsidRPr="00EF224F">
        <w:t>events</w:t>
      </w:r>
      <w:r w:rsidRPr="003E532B">
        <w:rPr>
          <w:lang w:val="en-IE"/>
        </w:rPr>
        <w:t xml:space="preserve"> include a </w:t>
      </w:r>
      <w:r w:rsidRPr="00AB28E0">
        <w:t>change</w:t>
      </w:r>
      <w:r w:rsidRPr="003E532B">
        <w:rPr>
          <w:lang w:val="en-IE"/>
        </w:rPr>
        <w:t xml:space="preserve"> of regime, breakdown of law and order, natural disaster, or a declaration of a state of emergency in the jurisdiction </w:t>
      </w:r>
      <w:r w:rsidR="00E62BD0">
        <w:rPr>
          <w:lang w:val="en-IE"/>
        </w:rPr>
        <w:t>where</w:t>
      </w:r>
      <w:r w:rsidRPr="003E532B">
        <w:rPr>
          <w:lang w:val="en-IE"/>
        </w:rPr>
        <w:t xml:space="preserve"> the trustee is resident and/or the trust is administered. </w:t>
      </w:r>
      <w:r w:rsidR="003E532B" w:rsidRPr="003E532B">
        <w:rPr>
          <w:lang w:val="en-IE"/>
        </w:rPr>
        <w:t>The interconnectedness and transparency requirements of the global financial system make the resort to flee clauses outdated and</w:t>
      </w:r>
      <w:r w:rsidR="00E62BD0">
        <w:rPr>
          <w:lang w:val="en-IE"/>
        </w:rPr>
        <w:t>,</w:t>
      </w:r>
      <w:r w:rsidR="003E532B" w:rsidRPr="003E532B">
        <w:rPr>
          <w:lang w:val="en-IE"/>
        </w:rPr>
        <w:t xml:space="preserve"> to a large extent</w:t>
      </w:r>
      <w:r w:rsidR="00E62BD0">
        <w:rPr>
          <w:lang w:val="en-IE"/>
        </w:rPr>
        <w:t>,</w:t>
      </w:r>
      <w:r w:rsidR="003E532B" w:rsidRPr="003E532B">
        <w:rPr>
          <w:lang w:val="en-IE"/>
        </w:rPr>
        <w:t xml:space="preserve"> unjustified. From a</w:t>
      </w:r>
      <w:r w:rsidR="00E62BD0">
        <w:rPr>
          <w:lang w:val="en-IE"/>
        </w:rPr>
        <w:t>n</w:t>
      </w:r>
      <w:r w:rsidR="003E532B" w:rsidRPr="003E532B">
        <w:rPr>
          <w:lang w:val="en-IE"/>
        </w:rPr>
        <w:t xml:space="preserve"> ML/TF perspective, the main concern is that the clause can be triggered upon a service of process, thus in effect insulating the trust from the claims or the action of law enforcement authorities or slowing down such action. </w:t>
      </w:r>
    </w:p>
    <w:p w14:paraId="0F7DAA46" w14:textId="77777777" w:rsidR="00C171C0" w:rsidRPr="0094455D" w:rsidRDefault="00C171C0" w:rsidP="00EE63C7">
      <w:pPr>
        <w:pStyle w:val="Heading3"/>
      </w:pPr>
      <w:r w:rsidRPr="0094455D">
        <w:t>Protection of assets</w:t>
      </w:r>
    </w:p>
    <w:p w14:paraId="62FA08C8" w14:textId="77777777" w:rsidR="00C171C0" w:rsidRDefault="00C171C0" w:rsidP="00C171C0">
      <w:pPr>
        <w:pStyle w:val="Para"/>
      </w:pPr>
      <w:r w:rsidRPr="007811AC">
        <w:t xml:space="preserve">The separation of legal and beneficial ownership in trusts makes it possible for assets to be shielded from third parties through trusts. By relinquishing their </w:t>
      </w:r>
      <w:r w:rsidR="0036373D">
        <w:t xml:space="preserve">property </w:t>
      </w:r>
      <w:r w:rsidRPr="007811AC">
        <w:t xml:space="preserve">ownership to a trust, settlors also protect the assets in the trust from any </w:t>
      </w:r>
      <w:r w:rsidR="0036373D">
        <w:t xml:space="preserve">third parties’ </w:t>
      </w:r>
      <w:r w:rsidRPr="007811AC">
        <w:t xml:space="preserve">claims. This </w:t>
      </w:r>
      <w:r w:rsidR="001A7A2E">
        <w:t>is</w:t>
      </w:r>
      <w:r w:rsidRPr="007811AC">
        <w:t xml:space="preserve"> seen in a number of cases, whereby the unequivocal position by the courts has been that once there </w:t>
      </w:r>
      <w:r w:rsidR="001A7A2E">
        <w:t>was</w:t>
      </w:r>
      <w:r w:rsidRPr="007811AC">
        <w:t xml:space="preserve"> an effective alienation of the trust property, they are no longer part of the </w:t>
      </w:r>
      <w:r w:rsidR="00AD6E5B">
        <w:t xml:space="preserve">settlor’s </w:t>
      </w:r>
      <w:r w:rsidRPr="007811AC">
        <w:t xml:space="preserve">assets and therefore can be secured from creditors. </w:t>
      </w:r>
      <w:r w:rsidR="006645A4">
        <w:t xml:space="preserve">The assets of a trust are also generally not treated as an asset of a beneficiary (depending on the terms of the trust). </w:t>
      </w:r>
      <w:r w:rsidRPr="007811AC">
        <w:t xml:space="preserve">To avoid abuses, </w:t>
      </w:r>
      <w:r>
        <w:t xml:space="preserve">some jurisdictions have </w:t>
      </w:r>
      <w:r w:rsidR="00A32829">
        <w:t xml:space="preserve">implemented </w:t>
      </w:r>
      <w:r>
        <w:t>measures to mitigate the abuse of trust law for fraudulent objectives</w:t>
      </w:r>
      <w:r w:rsidRPr="007811AC">
        <w:t xml:space="preserve">, such as </w:t>
      </w:r>
      <w:r w:rsidR="00AD6E5B">
        <w:t>preventing</w:t>
      </w:r>
      <w:r w:rsidR="00AD6E5B" w:rsidRPr="007811AC">
        <w:t xml:space="preserve"> </w:t>
      </w:r>
      <w:r w:rsidRPr="007811AC">
        <w:t>claims from debtors in the case of bankruptcy</w:t>
      </w:r>
      <w:r w:rsidR="002E54C6">
        <w:t>.</w:t>
      </w:r>
      <w:r w:rsidRPr="007811AC">
        <w:rPr>
          <w:rStyle w:val="FootnoteReference"/>
        </w:rPr>
        <w:footnoteReference w:id="13"/>
      </w:r>
      <w:r w:rsidRPr="007811AC">
        <w:t xml:space="preserve"> This principle is also applied in civil law courts when the fraudulent purpose of transfer</w:t>
      </w:r>
      <w:r w:rsidR="004F0449">
        <w:t>ring</w:t>
      </w:r>
      <w:r w:rsidRPr="007811AC">
        <w:t xml:space="preserve"> assets in a trust can be demonstrated or derived from the facts surrounding the transfer</w:t>
      </w:r>
      <w:r w:rsidR="002E54C6">
        <w:t>.</w:t>
      </w:r>
      <w:r w:rsidRPr="007811AC">
        <w:rPr>
          <w:rStyle w:val="FootnoteReference"/>
        </w:rPr>
        <w:footnoteReference w:id="14"/>
      </w:r>
    </w:p>
    <w:p w14:paraId="2D2FDA31" w14:textId="77777777" w:rsidR="00C171C0" w:rsidRPr="007811AC" w:rsidRDefault="00C171C0" w:rsidP="00C171C0">
      <w:pPr>
        <w:pStyle w:val="Para"/>
      </w:pPr>
      <w:r>
        <w:t xml:space="preserve">Some jurisdictions </w:t>
      </w:r>
      <w:r w:rsidRPr="007811AC">
        <w:t xml:space="preserve">bring additional features that result in a high level of protection of the assets from third parties or other </w:t>
      </w:r>
      <w:r>
        <w:t>countries</w:t>
      </w:r>
      <w:r w:rsidRPr="007811AC">
        <w:t xml:space="preserve">. </w:t>
      </w:r>
      <w:r w:rsidRPr="00AB28E0">
        <w:t>Asset protection trusts</w:t>
      </w:r>
      <w:r w:rsidRPr="007811AC">
        <w:t xml:space="preserve"> </w:t>
      </w:r>
      <w:r w:rsidR="004F3626">
        <w:t xml:space="preserve">may </w:t>
      </w:r>
      <w:r>
        <w:t>include</w:t>
      </w:r>
      <w:r w:rsidR="004F3626">
        <w:t xml:space="preserve"> the following features</w:t>
      </w:r>
      <w:r w:rsidRPr="007811AC">
        <w:t>:</w:t>
      </w:r>
    </w:p>
    <w:p w14:paraId="1FD2551B" w14:textId="77777777" w:rsidR="00C171C0" w:rsidRPr="00E04A56" w:rsidRDefault="00C171C0" w:rsidP="00BD75D6">
      <w:pPr>
        <w:pStyle w:val="BulletedList"/>
        <w:numPr>
          <w:ilvl w:val="0"/>
          <w:numId w:val="22"/>
        </w:numPr>
      </w:pPr>
      <w:r w:rsidRPr="003A2A46">
        <w:lastRenderedPageBreak/>
        <w:t>A 1-2</w:t>
      </w:r>
      <w:r w:rsidR="004F0449">
        <w:t>-</w:t>
      </w:r>
      <w:r w:rsidRPr="003A2A46">
        <w:t xml:space="preserve">year statute of limitation within which a creditor must bring an action of fraudulent </w:t>
      </w:r>
      <w:r w:rsidRPr="00E04A56">
        <w:t>transfer or conveyance against a trust</w:t>
      </w:r>
      <w:r w:rsidR="002E54C6">
        <w:t>.</w:t>
      </w:r>
    </w:p>
    <w:p w14:paraId="6317B556" w14:textId="77777777" w:rsidR="00C171C0" w:rsidRPr="00E04A56" w:rsidRDefault="00C171C0" w:rsidP="00BD75D6">
      <w:pPr>
        <w:pStyle w:val="BulletedList"/>
        <w:numPr>
          <w:ilvl w:val="0"/>
          <w:numId w:val="22"/>
        </w:numPr>
      </w:pPr>
      <w:r w:rsidRPr="00E04A56">
        <w:t>No recognition or enforcement of foreign judgments, including foreign bankruptcy</w:t>
      </w:r>
      <w:r w:rsidR="002E54C6">
        <w:t>.</w:t>
      </w:r>
    </w:p>
    <w:p w14:paraId="1F949DDA" w14:textId="77777777" w:rsidR="00C171C0" w:rsidRPr="00E04A56" w:rsidRDefault="00C171C0" w:rsidP="00BD75D6">
      <w:pPr>
        <w:pStyle w:val="BulletedList"/>
        <w:numPr>
          <w:ilvl w:val="0"/>
          <w:numId w:val="22"/>
        </w:numPr>
      </w:pPr>
      <w:r w:rsidRPr="00E04A56">
        <w:t>There is a higher “beyond a reasonable doubt” burden of proof that the assets were placed into the trust for fraudulent purposes</w:t>
      </w:r>
      <w:r w:rsidR="002E54C6">
        <w:t>.</w:t>
      </w:r>
    </w:p>
    <w:p w14:paraId="23788678" w14:textId="77777777" w:rsidR="003A6712" w:rsidRPr="007811AC" w:rsidRDefault="00C171C0" w:rsidP="00BD75D6">
      <w:pPr>
        <w:pStyle w:val="BulletedList"/>
        <w:numPr>
          <w:ilvl w:val="0"/>
          <w:numId w:val="22"/>
        </w:numPr>
      </w:pPr>
      <w:r w:rsidRPr="00E04A56">
        <w:t>Cases have to be brought to a domestic court and/or deposit paid before the country</w:t>
      </w:r>
      <w:r w:rsidR="007C489D">
        <w:t>’</w:t>
      </w:r>
      <w:r w:rsidRPr="00E04A56">
        <w:t>s court system may be used</w:t>
      </w:r>
      <w:r w:rsidR="002E54C6">
        <w:t>.</w:t>
      </w:r>
    </w:p>
    <w:p w14:paraId="61CB6E00" w14:textId="77777777" w:rsidR="003A6712" w:rsidRPr="00E04A56" w:rsidRDefault="003A6712" w:rsidP="0018040C">
      <w:pPr>
        <w:pStyle w:val="Heading2"/>
        <w:rPr>
          <w:lang w:val="en-US"/>
        </w:rPr>
      </w:pPr>
      <w:bookmarkStart w:id="16" w:name="_Toc145618532"/>
      <w:bookmarkStart w:id="17" w:name="_Toc149217166"/>
      <w:bookmarkEnd w:id="13"/>
      <w:r w:rsidRPr="00E04A56">
        <w:rPr>
          <w:lang w:val="en-US"/>
        </w:rPr>
        <w:t xml:space="preserve">Risk assessment of legal arrangements governed </w:t>
      </w:r>
      <w:r w:rsidRPr="0018040C">
        <w:t>under</w:t>
      </w:r>
      <w:r w:rsidRPr="00E04A56">
        <w:rPr>
          <w:lang w:val="en-US"/>
        </w:rPr>
        <w:t xml:space="preserve"> the law of a </w:t>
      </w:r>
      <w:proofErr w:type="gramStart"/>
      <w:r w:rsidRPr="00E04A56">
        <w:rPr>
          <w:lang w:val="en-US"/>
        </w:rPr>
        <w:t>country</w:t>
      </w:r>
      <w:bookmarkEnd w:id="16"/>
      <w:bookmarkEnd w:id="17"/>
      <w:proofErr w:type="gramEnd"/>
      <w:r w:rsidRPr="00E04A56">
        <w:rPr>
          <w:lang w:val="en-US"/>
        </w:rPr>
        <w:t xml:space="preserve"> </w:t>
      </w:r>
    </w:p>
    <w:p w14:paraId="5447EFFB" w14:textId="77777777" w:rsidR="003A6712" w:rsidRPr="00E04A56" w:rsidRDefault="003A6712" w:rsidP="00E04A56">
      <w:pPr>
        <w:pStyle w:val="Para"/>
        <w:rPr>
          <w:lang w:val="en-IE"/>
        </w:rPr>
      </w:pPr>
      <w:bookmarkStart w:id="18" w:name="_Hlk145433351"/>
      <w:r w:rsidRPr="00E04A56">
        <w:rPr>
          <w:lang w:val="en-IE"/>
        </w:rPr>
        <w:t>To ensure that risks are adequately understood and mitigated, the I</w:t>
      </w:r>
      <w:r w:rsidR="00896816">
        <w:rPr>
          <w:lang w:val="en-IE"/>
        </w:rPr>
        <w:t>NR</w:t>
      </w:r>
      <w:r w:rsidRPr="00E04A56">
        <w:rPr>
          <w:lang w:val="en-IE"/>
        </w:rPr>
        <w:t xml:space="preserve">.25 requires that countries should assess the ML </w:t>
      </w:r>
      <w:r w:rsidRPr="00E04A56">
        <w:t>and</w:t>
      </w:r>
      <w:r w:rsidRPr="00E04A56">
        <w:rPr>
          <w:lang w:val="en-IE"/>
        </w:rPr>
        <w:t xml:space="preserve"> TF risks associated with different types of </w:t>
      </w:r>
      <w:r w:rsidRPr="00E04A56">
        <w:t>trusts</w:t>
      </w:r>
      <w:r w:rsidRPr="00E04A56">
        <w:rPr>
          <w:lang w:val="en-IE"/>
        </w:rPr>
        <w:t xml:space="preserve"> and other similar legal arrangements governed under their law</w:t>
      </w:r>
      <w:r w:rsidRPr="00E04A56">
        <w:t xml:space="preserve"> </w:t>
      </w:r>
      <w:r w:rsidRPr="00E04A56">
        <w:rPr>
          <w:lang w:val="en-IE"/>
        </w:rPr>
        <w:t xml:space="preserve">and take appropriate steps to manage and mitigate the risks they identify. Such a risk assessment should </w:t>
      </w:r>
      <w:r w:rsidR="00CD5BE1">
        <w:rPr>
          <w:lang w:val="en-IE"/>
        </w:rPr>
        <w:t>consider</w:t>
      </w:r>
      <w:r w:rsidR="00EA3BDD">
        <w:rPr>
          <w:lang w:val="en-IE"/>
        </w:rPr>
        <w:t xml:space="preserve">: </w:t>
      </w:r>
      <w:proofErr w:type="spellStart"/>
      <w:r w:rsidRPr="00E04A56">
        <w:rPr>
          <w:lang w:val="en-IE"/>
        </w:rPr>
        <w:t>i</w:t>
      </w:r>
      <w:proofErr w:type="spellEnd"/>
      <w:r w:rsidRPr="00E04A56">
        <w:rPr>
          <w:lang w:val="en-IE"/>
        </w:rPr>
        <w:t xml:space="preserve">) </w:t>
      </w:r>
      <w:r w:rsidR="00A32829">
        <w:rPr>
          <w:lang w:val="en-IE"/>
        </w:rPr>
        <w:t>the particular vulnerabilities the country faces</w:t>
      </w:r>
      <w:r w:rsidR="004F7D25">
        <w:rPr>
          <w:lang w:val="en-IE"/>
        </w:rPr>
        <w:t>, and</w:t>
      </w:r>
      <w:r w:rsidR="00A32829">
        <w:rPr>
          <w:lang w:val="en-IE"/>
        </w:rPr>
        <w:t xml:space="preserve"> (ii)</w:t>
      </w:r>
      <w:r w:rsidR="002E54C6">
        <w:rPr>
          <w:lang w:val="en-IE"/>
        </w:rPr>
        <w:t xml:space="preserve"> </w:t>
      </w:r>
      <w:r w:rsidRPr="00E04A56">
        <w:rPr>
          <w:lang w:val="en-IE"/>
        </w:rPr>
        <w:t>the extent to which the country’s governing law presents opportunities for ML/TF</w:t>
      </w:r>
      <w:r w:rsidR="002E54C6">
        <w:rPr>
          <w:lang w:val="en-IE"/>
        </w:rPr>
        <w:t>.</w:t>
      </w:r>
      <w:r w:rsidR="00072ABB">
        <w:rPr>
          <w:rStyle w:val="FootnoteReference"/>
          <w:lang w:val="en-IE"/>
        </w:rPr>
        <w:footnoteReference w:id="15"/>
      </w:r>
      <w:r w:rsidRPr="00E04A56">
        <w:rPr>
          <w:lang w:val="en-IE"/>
        </w:rPr>
        <w:t xml:space="preserve"> </w:t>
      </w:r>
    </w:p>
    <w:p w14:paraId="66CE654B" w14:textId="77777777" w:rsidR="00325842" w:rsidRPr="00E04A56" w:rsidRDefault="002502B7" w:rsidP="00E04A56">
      <w:pPr>
        <w:pStyle w:val="Para"/>
      </w:pPr>
      <w:r>
        <w:rPr>
          <w:lang w:val="en-IE"/>
        </w:rPr>
        <w:t>In some instances, t</w:t>
      </w:r>
      <w:r w:rsidR="00BF43B7" w:rsidRPr="00E04A56">
        <w:t xml:space="preserve">he only connection that a trust may have with a country is the use of its trust law and use of its judicial system </w:t>
      </w:r>
      <w:r w:rsidR="001A7A2E">
        <w:t>if</w:t>
      </w:r>
      <w:r w:rsidR="00BF43B7" w:rsidRPr="00E04A56">
        <w:t xml:space="preserve"> there is a dispute. </w:t>
      </w:r>
      <w:r w:rsidR="00325842" w:rsidRPr="00E04A56">
        <w:t xml:space="preserve">Assets of a trust do not need to be held in the country whose legal framework regulates the trust. Nor in many cases is it necessary for a trustee to be resident in that country, or for the trust to be administered therefrom. </w:t>
      </w:r>
    </w:p>
    <w:p w14:paraId="1710EAC8" w14:textId="77777777" w:rsidR="00325842" w:rsidRPr="00E04A56" w:rsidRDefault="00325842" w:rsidP="00E04A56">
      <w:pPr>
        <w:pStyle w:val="Para"/>
      </w:pPr>
      <w:r w:rsidRPr="00E04A56">
        <w:t xml:space="preserve">The FATF </w:t>
      </w:r>
      <w:r w:rsidR="00E945F4">
        <w:t>R</w:t>
      </w:r>
      <w:r w:rsidR="002E54C6">
        <w:t>ecommendations</w:t>
      </w:r>
      <w:r w:rsidRPr="00E04A56">
        <w:t xml:space="preserve"> recognise that many countries do not have trust law and may not give legal recognition to trusts and there is no requirement for countries to do so. However, people in those countries often create trusts governed by the law of a different country to manage their assets. This means that the countries that provide the source of law for a trust may not have the necessary connection to either fully understand or mitigate risks associated with legal arrangements established under their law. In fact, since the</w:t>
      </w:r>
      <w:r w:rsidRPr="00FD0A28">
        <w:t xml:space="preserve"> choice of the law governing the trust is a right of the settlor, the country providing the source of law might have no means at all to know of the existence of </w:t>
      </w:r>
      <w:r>
        <w:t xml:space="preserve">a particular </w:t>
      </w:r>
      <w:r w:rsidRPr="00FD0A28">
        <w:t xml:space="preserve">legal arrangement unless there is a connection to its territory. Conversely, this connection and the ability to assess and mitigate risks associated with these arrangements can be found </w:t>
      </w:r>
      <w:r>
        <w:t xml:space="preserve">to some extent </w:t>
      </w:r>
      <w:r w:rsidRPr="00FD0A28">
        <w:t xml:space="preserve">in the </w:t>
      </w:r>
      <w:r w:rsidRPr="00E04A56">
        <w:t>jurisdiction where the trust is administered or where the trustee resides. Those jurisdictions are also required to assess the risks associated with those arrangements</w:t>
      </w:r>
      <w:r w:rsidR="002E54C6">
        <w:t>.</w:t>
      </w:r>
    </w:p>
    <w:p w14:paraId="7F0BA9C8" w14:textId="77777777" w:rsidR="00064774" w:rsidRPr="00064774" w:rsidRDefault="00064774" w:rsidP="00064774">
      <w:pPr>
        <w:pStyle w:val="Para"/>
        <w:rPr>
          <w:lang w:val="en-IE"/>
        </w:rPr>
      </w:pPr>
      <w:r w:rsidRPr="00064774">
        <w:rPr>
          <w:lang w:val="en-IE"/>
        </w:rPr>
        <w:t xml:space="preserve">Countries providing the source of law should carry out an assessment of the vulnerabilities of their legal framework in this regard to mitigate potential ML/TF abuse. </w:t>
      </w:r>
    </w:p>
    <w:p w14:paraId="7D7D6785" w14:textId="77777777" w:rsidR="00D61DDC" w:rsidRPr="00E04A56" w:rsidRDefault="00D61DDC" w:rsidP="00D61DDC">
      <w:pPr>
        <w:pStyle w:val="Para"/>
      </w:pPr>
      <w:r>
        <w:t>For the purpose of this risk assessment, c</w:t>
      </w:r>
      <w:r w:rsidRPr="00E04A56">
        <w:t xml:space="preserve">ountries may consider </w:t>
      </w:r>
      <w:r w:rsidR="004B6593">
        <w:t>also assessing</w:t>
      </w:r>
      <w:r>
        <w:t xml:space="preserve"> </w:t>
      </w:r>
      <w:r w:rsidRPr="00E04A56">
        <w:t>specific concentrated areas of use of the country’s governing law and the reasons for that concentrated activity.</w:t>
      </w:r>
      <w:r>
        <w:t xml:space="preserve"> To this end countries may also consider information about the number of trusts registered in countries</w:t>
      </w:r>
      <w:r w:rsidR="002E54C6">
        <w:t>’</w:t>
      </w:r>
      <w:r>
        <w:t xml:space="preserve"> registr</w:t>
      </w:r>
      <w:r w:rsidR="005C739B">
        <w:t>ies</w:t>
      </w:r>
      <w:r w:rsidR="00B66EBA">
        <w:t xml:space="preserve"> (if any)</w:t>
      </w:r>
      <w:r>
        <w:t>.</w:t>
      </w:r>
    </w:p>
    <w:p w14:paraId="4EF961E9" w14:textId="77777777" w:rsidR="003A6712" w:rsidRPr="00BE1B22" w:rsidRDefault="003A6712" w:rsidP="0018040C">
      <w:pPr>
        <w:pStyle w:val="Heading2"/>
        <w:rPr>
          <w:lang w:val="en-US"/>
        </w:rPr>
      </w:pPr>
      <w:bookmarkStart w:id="19" w:name="_Toc145618533"/>
      <w:bookmarkStart w:id="20" w:name="_Toc149217167"/>
      <w:bookmarkEnd w:id="18"/>
      <w:r w:rsidRPr="00FD0A28">
        <w:rPr>
          <w:lang w:val="en-US"/>
        </w:rPr>
        <w:t xml:space="preserve">Risk assessment of legal arrangements administered in the country or for which the trustee or equivalent resides in the </w:t>
      </w:r>
      <w:proofErr w:type="gramStart"/>
      <w:r w:rsidRPr="00FD0A28">
        <w:rPr>
          <w:lang w:val="en-US"/>
        </w:rPr>
        <w:t>country</w:t>
      </w:r>
      <w:bookmarkEnd w:id="19"/>
      <w:bookmarkEnd w:id="20"/>
      <w:proofErr w:type="gramEnd"/>
      <w:r w:rsidRPr="00FD0A28">
        <w:rPr>
          <w:lang w:val="en-US"/>
        </w:rPr>
        <w:t xml:space="preserve"> </w:t>
      </w:r>
    </w:p>
    <w:p w14:paraId="502E0694" w14:textId="77777777" w:rsidR="003A6712" w:rsidRPr="0018040C" w:rsidRDefault="006645A4" w:rsidP="0018040C">
      <w:pPr>
        <w:pStyle w:val="Para"/>
      </w:pPr>
      <w:bookmarkStart w:id="21" w:name="_Hlk143503285"/>
      <w:bookmarkStart w:id="22" w:name="_Hlk143503171"/>
      <w:r>
        <w:t>C</w:t>
      </w:r>
      <w:r w:rsidR="003A6712" w:rsidRPr="00FD0A28">
        <w:t xml:space="preserve">ountries should not only assess the </w:t>
      </w:r>
      <w:r w:rsidR="003A6712">
        <w:t>ML/TF</w:t>
      </w:r>
      <w:r w:rsidR="003A6712" w:rsidRPr="00FD0A28">
        <w:t xml:space="preserve"> </w:t>
      </w:r>
      <w:r w:rsidR="003A6712">
        <w:t xml:space="preserve">of legal arrangements governed </w:t>
      </w:r>
      <w:r w:rsidR="003A6712" w:rsidRPr="00FD0A28">
        <w:t xml:space="preserve">under their law, </w:t>
      </w:r>
      <w:bookmarkEnd w:id="21"/>
      <w:r w:rsidR="003A6712" w:rsidRPr="00FD0A28">
        <w:t xml:space="preserve">but also </w:t>
      </w:r>
      <w:r w:rsidR="003A6712" w:rsidRPr="0018040C">
        <w:t xml:space="preserve">of legal arrangements governed under the law of another country which are administered in their territory, for example through trust administration services </w:t>
      </w:r>
      <w:r w:rsidR="003A6712" w:rsidRPr="0018040C">
        <w:lastRenderedPageBreak/>
        <w:t>provided by a TCSP in the country, or if the trustee or equivalent resides in the country. Countries should take appropriate steps to manage and mitigate the risks they identify.</w:t>
      </w:r>
    </w:p>
    <w:bookmarkEnd w:id="22"/>
    <w:p w14:paraId="10BF3AEE" w14:textId="77777777" w:rsidR="003A6712" w:rsidRPr="009C565E" w:rsidRDefault="003A6712" w:rsidP="0018040C">
      <w:pPr>
        <w:pStyle w:val="Para"/>
      </w:pPr>
      <w:r w:rsidRPr="0018040C">
        <w:t>To assess the risks associated with legal arrangements administered in the country</w:t>
      </w:r>
      <w:r w:rsidR="00072ABB">
        <w:t>,</w:t>
      </w:r>
      <w:r w:rsidRPr="0018040C">
        <w:t xml:space="preserve"> countries </w:t>
      </w:r>
      <w:r w:rsidR="00EB69C8" w:rsidRPr="0018040C">
        <w:t xml:space="preserve">may develop </w:t>
      </w:r>
      <w:r w:rsidRPr="0018040C">
        <w:t>an understanding of what type of services are provided in their jurisdiction</w:t>
      </w:r>
      <w:r w:rsidR="005A44B7">
        <w:t>,</w:t>
      </w:r>
      <w:r w:rsidRPr="0018040C">
        <w:t xml:space="preserve"> who provides those services</w:t>
      </w:r>
      <w:r w:rsidR="00EB69C8" w:rsidRPr="0018040C">
        <w:t xml:space="preserve"> and the nature of these services</w:t>
      </w:r>
      <w:r w:rsidR="005A44B7">
        <w:t>,</w:t>
      </w:r>
      <w:r w:rsidR="00EB69C8" w:rsidRPr="0018040C">
        <w:t xml:space="preserve"> and</w:t>
      </w:r>
      <w:r w:rsidR="002502B7">
        <w:t xml:space="preserve"> the</w:t>
      </w:r>
      <w:r w:rsidR="00EB69C8" w:rsidRPr="0018040C">
        <w:t xml:space="preserve"> trust parties. </w:t>
      </w:r>
      <w:r w:rsidRPr="00FD0A28">
        <w:t xml:space="preserve">In addition, countries should </w:t>
      </w:r>
      <w:r w:rsidR="00586BFD">
        <w:t xml:space="preserve">have processes in place to determine </w:t>
      </w:r>
      <w:r w:rsidRPr="00FD0A28">
        <w:t>if persons residing in their jurisdiction act as a trustee or equivalent for foreign legal arrangements</w:t>
      </w:r>
      <w:r>
        <w:t xml:space="preserve"> (including on a professional and non-professional basis)</w:t>
      </w:r>
      <w:r w:rsidRPr="00FD0A28">
        <w:t>.</w:t>
      </w:r>
      <w:r w:rsidR="002E54C6">
        <w:t xml:space="preserve"> </w:t>
      </w:r>
      <w:r w:rsidRPr="00FD0A28">
        <w:t>To identify whether trustees of foreign legal arrangements</w:t>
      </w:r>
      <w:r>
        <w:t>,</w:t>
      </w:r>
      <w:r w:rsidRPr="00FD0A28">
        <w:t xml:space="preserve"> or equivalent</w:t>
      </w:r>
      <w:r>
        <w:t>,</w:t>
      </w:r>
      <w:r w:rsidRPr="00FD0A28">
        <w:t xml:space="preserve"> are resident in the jurisdiction, countries could assess the information available to </w:t>
      </w:r>
      <w:r>
        <w:t>domestic</w:t>
      </w:r>
      <w:r w:rsidRPr="00FD0A28">
        <w:t xml:space="preserve"> tax authorities (e.g., tax declarations)</w:t>
      </w:r>
      <w:r>
        <w:t xml:space="preserve"> and supervisors</w:t>
      </w:r>
      <w:r w:rsidRPr="00FD0A28">
        <w:t xml:space="preserve">. </w:t>
      </w:r>
      <w:r>
        <w:t>In this context, it is worth mentioning the importance of inter-agency co</w:t>
      </w:r>
      <w:r w:rsidR="005A44B7">
        <w:t>-</w:t>
      </w:r>
      <w:r>
        <w:t>operation and information sharing frameworks.</w:t>
      </w:r>
    </w:p>
    <w:p w14:paraId="134463CD" w14:textId="77777777" w:rsidR="003A6712" w:rsidRPr="00FD0A28" w:rsidRDefault="003A6712" w:rsidP="0018040C">
      <w:pPr>
        <w:pStyle w:val="Para"/>
      </w:pPr>
      <w:r w:rsidRPr="00FD0A28">
        <w:t>When assessing the risks associated with foreign legal arrangements administered in the country or for which the trustee or equivalent resides in the country, countries could also consider using the publicly available information about the different types, forms</w:t>
      </w:r>
      <w:r w:rsidR="005A44B7">
        <w:t>,</w:t>
      </w:r>
      <w:r w:rsidRPr="00FD0A28">
        <w:t xml:space="preserve"> and basic features of</w:t>
      </w:r>
      <w:r>
        <w:t xml:space="preserve"> the relevant</w:t>
      </w:r>
      <w:r w:rsidRPr="00FD0A28">
        <w:t xml:space="preserve"> express trusts and/or other similar legal arrangements governed under the law of another country, how they are set up and how their basic and beneficial ownership information can be obtained.</w:t>
      </w:r>
    </w:p>
    <w:p w14:paraId="41B570CF" w14:textId="77777777" w:rsidR="003A6712" w:rsidRPr="00FD0A28" w:rsidRDefault="003A6712" w:rsidP="0018040C">
      <w:pPr>
        <w:pStyle w:val="Heading2"/>
      </w:pPr>
      <w:bookmarkStart w:id="23" w:name="_Toc145618534"/>
      <w:bookmarkStart w:id="24" w:name="_Toc149217168"/>
      <w:r w:rsidRPr="00FD0A28">
        <w:rPr>
          <w:lang w:val="en-US"/>
        </w:rPr>
        <w:t xml:space="preserve">Risk assessment of foreign legal </w:t>
      </w:r>
      <w:r w:rsidRPr="0018040C">
        <w:t>arrangements</w:t>
      </w:r>
      <w:r w:rsidRPr="00FD0A28">
        <w:rPr>
          <w:lang w:val="en-US"/>
        </w:rPr>
        <w:t xml:space="preserve"> having sufficient links with the country</w:t>
      </w:r>
      <w:bookmarkEnd w:id="23"/>
      <w:bookmarkEnd w:id="24"/>
    </w:p>
    <w:p w14:paraId="68B59E06" w14:textId="77777777" w:rsidR="003A6712" w:rsidRDefault="003A6712" w:rsidP="003A6712">
      <w:pPr>
        <w:pStyle w:val="Para"/>
        <w:tabs>
          <w:tab w:val="clear" w:pos="680"/>
          <w:tab w:val="num" w:pos="720"/>
          <w:tab w:val="num" w:pos="1135"/>
        </w:tabs>
        <w:ind w:left="720"/>
      </w:pPr>
      <w:r w:rsidRPr="003D5B93">
        <w:t xml:space="preserve">To ensure that risks are adequately understood and mitigated, countries </w:t>
      </w:r>
      <w:r w:rsidRPr="00FD0A28">
        <w:rPr>
          <w:lang w:val="en-US"/>
        </w:rPr>
        <w:t xml:space="preserve">should identify and assess the ML/TF risks to which they are exposed in relation to foreign legal arrangements, which have sufficient links to the country, and take appropriate steps to manage and mitigate the risks they identify. </w:t>
      </w:r>
      <w:r>
        <w:rPr>
          <w:lang w:val="en-US"/>
        </w:rPr>
        <w:t xml:space="preserve">What constitutes a sufficient link may be determined </w:t>
      </w:r>
      <w:proofErr w:type="gramStart"/>
      <w:r w:rsidRPr="00FD0A28">
        <w:rPr>
          <w:lang w:val="en-US"/>
        </w:rPr>
        <w:t>on the basis of</w:t>
      </w:r>
      <w:proofErr w:type="gramEnd"/>
      <w:r w:rsidRPr="00FD0A28">
        <w:rPr>
          <w:lang w:val="en-US"/>
        </w:rPr>
        <w:t xml:space="preserve"> risk</w:t>
      </w:r>
      <w:r w:rsidR="00C74D28">
        <w:rPr>
          <w:lang w:val="en-US"/>
        </w:rPr>
        <w:t>.</w:t>
      </w:r>
      <w:r w:rsidRPr="00FD0A28">
        <w:rPr>
          <w:rStyle w:val="FootnoteReference"/>
          <w:lang w:val="en-US"/>
        </w:rPr>
        <w:footnoteReference w:id="16"/>
      </w:r>
    </w:p>
    <w:p w14:paraId="1A7C2A71" w14:textId="77777777" w:rsidR="003A6712" w:rsidRPr="00FD0A28" w:rsidRDefault="003A6712" w:rsidP="0018040C">
      <w:pPr>
        <w:pStyle w:val="Para"/>
      </w:pPr>
      <w:r>
        <w:t>The examples for sufficient links with a country provided in INR.25 include but are not limited to:</w:t>
      </w:r>
    </w:p>
    <w:p w14:paraId="2874F7DC" w14:textId="77777777" w:rsidR="003A6712" w:rsidRPr="00FD0A28" w:rsidRDefault="003A6712" w:rsidP="00885103">
      <w:pPr>
        <w:pStyle w:val="BulletedList"/>
        <w:numPr>
          <w:ilvl w:val="0"/>
          <w:numId w:val="13"/>
        </w:numPr>
      </w:pPr>
      <w:r w:rsidRPr="00FD0A28">
        <w:t xml:space="preserve">The </w:t>
      </w:r>
      <w:r>
        <w:t xml:space="preserve">trust or similar legal arrangement or a </w:t>
      </w:r>
      <w:r w:rsidRPr="00FD0A28">
        <w:t xml:space="preserve">trustee or </w:t>
      </w:r>
      <w:r>
        <w:t xml:space="preserve">a person holding an </w:t>
      </w:r>
      <w:r w:rsidRPr="00FD0A28">
        <w:t xml:space="preserve">equivalent </w:t>
      </w:r>
      <w:r>
        <w:t xml:space="preserve">position in a similar legal arrangement </w:t>
      </w:r>
      <w:r w:rsidRPr="00FD0A28">
        <w:t>has significant</w:t>
      </w:r>
      <w:r>
        <w:t xml:space="preserve"> and</w:t>
      </w:r>
      <w:r w:rsidRPr="00FD0A28">
        <w:t xml:space="preserve"> ongoing business relations with </w:t>
      </w:r>
      <w:r>
        <w:t>FIs</w:t>
      </w:r>
      <w:r w:rsidRPr="00FD0A28">
        <w:t xml:space="preserve"> or DNFBPs. </w:t>
      </w:r>
      <w:r>
        <w:t>Examples for s</w:t>
      </w:r>
      <w:r w:rsidRPr="00FD0A28">
        <w:t xml:space="preserve">ignificant </w:t>
      </w:r>
      <w:r>
        <w:t xml:space="preserve">business relations </w:t>
      </w:r>
      <w:r w:rsidRPr="00FD0A28">
        <w:t xml:space="preserve">could </w:t>
      </w:r>
      <w:r>
        <w:t xml:space="preserve">include </w:t>
      </w:r>
      <w:r w:rsidRPr="00FD0A28">
        <w:t xml:space="preserve">the size of the relevant market and/or the impact of the business activity in the relevant market or the areas/sectors in which the </w:t>
      </w:r>
      <w:r>
        <w:t xml:space="preserve">trust or arrangement or a </w:t>
      </w:r>
      <w:r w:rsidRPr="00FD0A28">
        <w:t>trustee or equivalent operate</w:t>
      </w:r>
      <w:r w:rsidR="00C74D28">
        <w:t>.</w:t>
      </w:r>
    </w:p>
    <w:p w14:paraId="2A557F5A" w14:textId="77777777" w:rsidR="003A6712" w:rsidRPr="00FD0A28" w:rsidRDefault="003A6712" w:rsidP="00885103">
      <w:pPr>
        <w:pStyle w:val="BulletedList"/>
        <w:numPr>
          <w:ilvl w:val="0"/>
          <w:numId w:val="13"/>
        </w:numPr>
      </w:pPr>
      <w:r>
        <w:t xml:space="preserve">The trust or similar legal arrangement or a trustee or a person holding an equivalent position in a similar legal arrangement has </w:t>
      </w:r>
      <w:r w:rsidRPr="00FD0A28">
        <w:t xml:space="preserve">significant real estate or other </w:t>
      </w:r>
      <w:r>
        <w:t xml:space="preserve">local </w:t>
      </w:r>
      <w:r w:rsidRPr="00FD0A28">
        <w:t>investment</w:t>
      </w:r>
      <w:r>
        <w:t>. Examples for such other local investment may include (but are not limited to)</w:t>
      </w:r>
      <w:r w:rsidRPr="00FD0A28">
        <w:t xml:space="preserve"> securities market investment. Significant </w:t>
      </w:r>
      <w:r>
        <w:t xml:space="preserve">real estate or other local investment </w:t>
      </w:r>
      <w:r w:rsidRPr="00FD0A28">
        <w:t>could be determined with reference to the average price of the real estate</w:t>
      </w:r>
      <w:r>
        <w:t xml:space="preserve"> and the </w:t>
      </w:r>
      <w:r w:rsidRPr="00FD0A28">
        <w:t>corresponding asset market in the country, or the quantity of real estate held</w:t>
      </w:r>
      <w:r w:rsidR="00C74D28">
        <w:t>.</w:t>
      </w:r>
    </w:p>
    <w:p w14:paraId="2D035DAA" w14:textId="77777777" w:rsidR="003A6712" w:rsidRPr="00A83BDD" w:rsidRDefault="003A6712" w:rsidP="00885103">
      <w:pPr>
        <w:pStyle w:val="BulletedList"/>
        <w:numPr>
          <w:ilvl w:val="0"/>
          <w:numId w:val="13"/>
        </w:numPr>
        <w:rPr>
          <w:lang w:val="en-US"/>
        </w:rPr>
      </w:pPr>
      <w:r>
        <w:lastRenderedPageBreak/>
        <w:t xml:space="preserve">The trust or similar legal arrangement or a trustee or a person holding an equivalent position in a similar legal arrangement is subject to taxation in the country </w:t>
      </w:r>
      <w:r w:rsidRPr="00FD0A28">
        <w:t xml:space="preserve">e.g., value added tax, </w:t>
      </w:r>
      <w:r>
        <w:t xml:space="preserve">income tax, </w:t>
      </w:r>
      <w:r w:rsidRPr="00FD0A28">
        <w:t>property tax, wealth tax) in the country</w:t>
      </w:r>
      <w:r>
        <w:t>.</w:t>
      </w:r>
    </w:p>
    <w:p w14:paraId="752CFE8C" w14:textId="77777777" w:rsidR="003A6712" w:rsidRDefault="003A6712" w:rsidP="0018040C">
      <w:pPr>
        <w:pStyle w:val="Para"/>
      </w:pPr>
      <w:r w:rsidRPr="00A83BDD">
        <w:t>In addition to the examples provided in INR.25, sufficient links may include cases</w:t>
      </w:r>
      <w:r w:rsidRPr="00E83787">
        <w:t xml:space="preserve"> </w:t>
      </w:r>
      <w:r>
        <w:t xml:space="preserve">where foreign trusts or </w:t>
      </w:r>
      <w:r w:rsidRPr="0018040C">
        <w:t>similar</w:t>
      </w:r>
      <w:r>
        <w:t xml:space="preserve"> legal arrangements own or control legal persons or arrangements established within the country.</w:t>
      </w:r>
    </w:p>
    <w:p w14:paraId="5A2E3F1D" w14:textId="77777777" w:rsidR="007C16B9" w:rsidRPr="00A83BDD" w:rsidRDefault="007C16B9" w:rsidP="007C16B9">
      <w:pPr>
        <w:pStyle w:val="Para"/>
      </w:pPr>
      <w:r>
        <w:t>Countries may consider the factors set out in relation to trusts governed in their country, administered in their country or where the trustee is resident in their country, in establishing a risk assessment framework for trusts and legal arrangements with sufficient links with their country. They should also consider factors relevant to the trusts link with their jurisdiction.</w:t>
      </w:r>
    </w:p>
    <w:p w14:paraId="3B3817EC" w14:textId="77777777" w:rsidR="003A6712" w:rsidRPr="00FD0A28" w:rsidRDefault="003A6712" w:rsidP="0018040C">
      <w:pPr>
        <w:pStyle w:val="Heading2"/>
        <w:rPr>
          <w:lang w:val="en-US"/>
        </w:rPr>
      </w:pPr>
      <w:bookmarkStart w:id="25" w:name="_Toc145618535"/>
      <w:bookmarkStart w:id="26" w:name="_Toc149217169"/>
      <w:r w:rsidRPr="00FD0A28">
        <w:t xml:space="preserve">Mechanisms for preventing and mitigating </w:t>
      </w:r>
      <w:proofErr w:type="gramStart"/>
      <w:r w:rsidRPr="00FD0A28">
        <w:t>risk</w:t>
      </w:r>
      <w:bookmarkEnd w:id="25"/>
      <w:bookmarkEnd w:id="26"/>
      <w:proofErr w:type="gramEnd"/>
      <w:r w:rsidRPr="00FD0A28">
        <w:t xml:space="preserve"> </w:t>
      </w:r>
    </w:p>
    <w:p w14:paraId="71FA9126" w14:textId="77777777" w:rsidR="003A6712" w:rsidRDefault="003A6712" w:rsidP="0018040C">
      <w:pPr>
        <w:pStyle w:val="Para"/>
        <w:rPr>
          <w:lang w:val="en-IN"/>
        </w:rPr>
      </w:pPr>
      <w:r w:rsidRPr="00FD0A28">
        <w:rPr>
          <w:lang w:val="en-IN"/>
        </w:rPr>
        <w:t xml:space="preserve">Countries should take appropriate steps to manage and mitigate the risks identified in the risk </w:t>
      </w:r>
      <w:r w:rsidRPr="00353935">
        <w:t>assessment</w:t>
      </w:r>
      <w:r w:rsidRPr="00FD0A28">
        <w:rPr>
          <w:lang w:val="en-IN"/>
        </w:rPr>
        <w:t xml:space="preserve">. </w:t>
      </w:r>
      <w:proofErr w:type="gramStart"/>
      <w:r w:rsidR="00154123" w:rsidRPr="00FD0A28">
        <w:rPr>
          <w:lang w:val="en-IN"/>
        </w:rPr>
        <w:t>To enable</w:t>
      </w:r>
      <w:proofErr w:type="gramEnd"/>
      <w:r w:rsidR="00154123" w:rsidRPr="00FD0A28">
        <w:rPr>
          <w:lang w:val="en-IN"/>
        </w:rPr>
        <w:t xml:space="preserve"> this, the risk assessment </w:t>
      </w:r>
      <w:r w:rsidR="00154123">
        <w:rPr>
          <w:lang w:val="en-IN"/>
        </w:rPr>
        <w:t xml:space="preserve">should be comprehensive and </w:t>
      </w:r>
      <w:r w:rsidR="00154123" w:rsidRPr="00FD0A28">
        <w:rPr>
          <w:lang w:val="en-IN"/>
        </w:rPr>
        <w:t>involve sufficient analysis of the sources, nature, and the extent of risk involved.</w:t>
      </w:r>
    </w:p>
    <w:p w14:paraId="349F4588" w14:textId="77777777" w:rsidR="00586BFD" w:rsidRDefault="005A28A4" w:rsidP="00586BFD">
      <w:pPr>
        <w:pStyle w:val="Para"/>
      </w:pPr>
      <w:r>
        <w:t>To</w:t>
      </w:r>
      <w:r w:rsidR="00586BFD">
        <w:t xml:space="preserve"> mitigate the </w:t>
      </w:r>
      <w:r w:rsidR="00D15C75">
        <w:t>above-mentioned</w:t>
      </w:r>
      <w:r w:rsidR="00586BFD">
        <w:t xml:space="preserve"> risks</w:t>
      </w:r>
      <w:r>
        <w:t>,</w:t>
      </w:r>
      <w:r w:rsidR="00586BFD" w:rsidRPr="00E04A56">
        <w:t xml:space="preserve"> it is necessary to clearly establish the specific features that characterise each </w:t>
      </w:r>
      <w:r w:rsidR="00586BFD">
        <w:t xml:space="preserve">type of </w:t>
      </w:r>
      <w:r w:rsidR="00586BFD" w:rsidRPr="00E04A56">
        <w:t xml:space="preserve">trust or similar </w:t>
      </w:r>
      <w:r w:rsidR="00586BFD" w:rsidRPr="00AB28E0">
        <w:t>legal</w:t>
      </w:r>
      <w:r w:rsidR="00586BFD" w:rsidRPr="00E04A56">
        <w:t xml:space="preserve"> arrangement, particular</w:t>
      </w:r>
      <w:r>
        <w:t>ly</w:t>
      </w:r>
      <w:r w:rsidR="00586BFD" w:rsidRPr="00E04A56">
        <w:t xml:space="preserve"> the purposes of the </w:t>
      </w:r>
      <w:r w:rsidR="00586BFD">
        <w:t>arrangement</w:t>
      </w:r>
      <w:r w:rsidR="00586BFD" w:rsidRPr="00E04A56">
        <w:t xml:space="preserve">. </w:t>
      </w:r>
    </w:p>
    <w:p w14:paraId="5D3B4D71" w14:textId="7647439D" w:rsidR="003A6712" w:rsidRPr="00FD0A28" w:rsidRDefault="003A6712" w:rsidP="0018040C">
      <w:pPr>
        <w:pStyle w:val="Para"/>
        <w:rPr>
          <w:lang w:val="en-IN"/>
        </w:rPr>
      </w:pPr>
      <w:r w:rsidRPr="00FD0A28">
        <w:rPr>
          <w:lang w:val="en-IN"/>
        </w:rPr>
        <w:t xml:space="preserve">The </w:t>
      </w:r>
      <w:r w:rsidRPr="00353935">
        <w:t>following</w:t>
      </w:r>
      <w:r w:rsidRPr="00FD0A28">
        <w:rPr>
          <w:lang w:val="en-IN"/>
        </w:rPr>
        <w:t xml:space="preserve"> illustrates some preventive measures that </w:t>
      </w:r>
      <w:r w:rsidR="005A28A4">
        <w:rPr>
          <w:lang w:val="en-IN"/>
        </w:rPr>
        <w:t xml:space="preserve">countries </w:t>
      </w:r>
      <w:r w:rsidRPr="00FD0A28">
        <w:rPr>
          <w:lang w:val="en-IN"/>
        </w:rPr>
        <w:t xml:space="preserve">may </w:t>
      </w:r>
      <w:r w:rsidR="00C81631">
        <w:rPr>
          <w:lang w:val="en-IN"/>
        </w:rPr>
        <w:t>consider</w:t>
      </w:r>
      <w:r w:rsidR="00C81631" w:rsidRPr="00FD0A28">
        <w:rPr>
          <w:lang w:val="en-IN"/>
        </w:rPr>
        <w:t xml:space="preserve"> </w:t>
      </w:r>
      <w:proofErr w:type="gramStart"/>
      <w:r w:rsidRPr="00FD0A28">
        <w:rPr>
          <w:lang w:val="en-IN"/>
        </w:rPr>
        <w:t xml:space="preserve">to </w:t>
      </w:r>
      <w:r w:rsidRPr="0071117C">
        <w:rPr>
          <w:lang w:val="en-IN"/>
        </w:rPr>
        <w:t>mitigate</w:t>
      </w:r>
      <w:proofErr w:type="gramEnd"/>
      <w:r w:rsidRPr="0071117C">
        <w:rPr>
          <w:lang w:val="en-IN"/>
        </w:rPr>
        <w:t xml:space="preserve"> risks: </w:t>
      </w:r>
    </w:p>
    <w:p w14:paraId="4716DC7D" w14:textId="77777777" w:rsidR="00586BFD" w:rsidRPr="007379BE" w:rsidRDefault="00586BFD" w:rsidP="00586BFD">
      <w:pPr>
        <w:pStyle w:val="BulletedList"/>
      </w:pPr>
      <w:r w:rsidRPr="007379BE">
        <w:t>A strong understanding of relevant ML/TF risks.</w:t>
      </w:r>
    </w:p>
    <w:p w14:paraId="53158B97" w14:textId="77777777" w:rsidR="003A6712" w:rsidRPr="0018040C" w:rsidRDefault="007C16B9" w:rsidP="0018040C">
      <w:pPr>
        <w:pStyle w:val="BulletedList"/>
      </w:pPr>
      <w:r>
        <w:t>A</w:t>
      </w:r>
      <w:r w:rsidR="003A6712" w:rsidRPr="0018040C">
        <w:t xml:space="preserve"> register of trusts administered in the country or for which the trustee or equivalent resides in the country.</w:t>
      </w:r>
    </w:p>
    <w:p w14:paraId="7C98F412" w14:textId="77777777" w:rsidR="003A6712" w:rsidRDefault="007C16B9" w:rsidP="0018040C">
      <w:pPr>
        <w:pStyle w:val="BulletedList"/>
      </w:pPr>
      <w:r>
        <w:t>A</w:t>
      </w:r>
      <w:r w:rsidR="003A6712" w:rsidRPr="0018040C">
        <w:t xml:space="preserve"> register of trusts governed under the law of a country (whereby the trust fails without registration).</w:t>
      </w:r>
    </w:p>
    <w:p w14:paraId="12D85D0A" w14:textId="77777777" w:rsidR="008A7A11" w:rsidRDefault="007C16B9" w:rsidP="0018040C">
      <w:pPr>
        <w:pStyle w:val="BulletedList"/>
      </w:pPr>
      <w:r>
        <w:t>S</w:t>
      </w:r>
      <w:r w:rsidRPr="00F53734">
        <w:t>anction</w:t>
      </w:r>
      <w:r>
        <w:t>s for</w:t>
      </w:r>
      <w:r w:rsidRPr="00F53734">
        <w:t xml:space="preserve"> trusts that operate in their country but bypass registration requirements by registering in another country</w:t>
      </w:r>
      <w:r w:rsidR="005A28A4">
        <w:t>.</w:t>
      </w:r>
    </w:p>
    <w:p w14:paraId="1175FDE9" w14:textId="77777777" w:rsidR="003A6712" w:rsidRPr="0018040C" w:rsidRDefault="003A6712" w:rsidP="0018040C">
      <w:pPr>
        <w:pStyle w:val="BulletedList"/>
      </w:pPr>
      <w:r w:rsidRPr="0018040C">
        <w:t>Apply</w:t>
      </w:r>
      <w:r w:rsidR="007C16B9">
        <w:t>ing</w:t>
      </w:r>
      <w:r w:rsidRPr="0018040C">
        <w:t xml:space="preserve"> R.10 to R.12 to: (</w:t>
      </w:r>
      <w:proofErr w:type="spellStart"/>
      <w:r w:rsidRPr="0018040C">
        <w:t>i</w:t>
      </w:r>
      <w:proofErr w:type="spellEnd"/>
      <w:r w:rsidRPr="0018040C">
        <w:t xml:space="preserve">) non-professional trustees; and (ii) professional administrators of trusts that are not TCSPs. </w:t>
      </w:r>
    </w:p>
    <w:p w14:paraId="769A8CBD" w14:textId="77777777" w:rsidR="003A6712" w:rsidRPr="0018040C" w:rsidRDefault="007C16B9" w:rsidP="0018040C">
      <w:pPr>
        <w:pStyle w:val="BulletedList"/>
      </w:pPr>
      <w:r>
        <w:t>Mechanisms to s</w:t>
      </w:r>
      <w:r w:rsidR="003A6712" w:rsidRPr="0018040C">
        <w:t>upervise</w:t>
      </w:r>
      <w:r w:rsidR="00F53734" w:rsidRPr="0018040C">
        <w:t xml:space="preserve"> or monitor</w:t>
      </w:r>
      <w:r w:rsidR="003A6712" w:rsidRPr="0018040C">
        <w:t xml:space="preserve"> persons administering trusts on a professional basis that are not TCSPs. </w:t>
      </w:r>
    </w:p>
    <w:p w14:paraId="2216183C" w14:textId="77777777" w:rsidR="003A6712" w:rsidRPr="0018040C" w:rsidRDefault="007C16B9" w:rsidP="0018040C">
      <w:pPr>
        <w:pStyle w:val="BulletedList"/>
      </w:pPr>
      <w:r>
        <w:t>Mechanisms requiring</w:t>
      </w:r>
      <w:r w:rsidRPr="0018040C">
        <w:t xml:space="preserve"> </w:t>
      </w:r>
      <w:r w:rsidR="003A6712" w:rsidRPr="0018040C">
        <w:t xml:space="preserve">disclosure requirements to legal arrangements that wish to operate in, own significant assets, or apply for registration in a country; in addition, applying disclosure requirements to legal arrangements which receive funding from foreign sources or from sources deemed to be high risk. </w:t>
      </w:r>
    </w:p>
    <w:p w14:paraId="44AC8D17" w14:textId="77777777" w:rsidR="003A6712" w:rsidRPr="0018040C" w:rsidRDefault="007C16B9" w:rsidP="0018040C">
      <w:pPr>
        <w:pStyle w:val="BulletedList"/>
      </w:pPr>
      <w:r>
        <w:t>Mechanism enhancing</w:t>
      </w:r>
      <w:r w:rsidR="003A6712" w:rsidRPr="0018040C">
        <w:t xml:space="preserve"> due diligence by FIs/DNFBPs that have business relationships with trusts or similar legal arrangements</w:t>
      </w:r>
      <w:r w:rsidR="00C81631">
        <w:t>, where relevant and in line with a risk-based approach</w:t>
      </w:r>
      <w:r w:rsidR="003A6712" w:rsidRPr="0018040C">
        <w:t>.</w:t>
      </w:r>
    </w:p>
    <w:p w14:paraId="2AAD7649" w14:textId="77777777" w:rsidR="003A6712" w:rsidRPr="0018040C" w:rsidRDefault="007C16B9" w:rsidP="0018040C">
      <w:pPr>
        <w:pStyle w:val="BulletedList"/>
      </w:pPr>
      <w:r>
        <w:t>Mechanisms to i</w:t>
      </w:r>
      <w:r w:rsidR="003A6712" w:rsidRPr="0018040C">
        <w:t xml:space="preserve">nvestigate </w:t>
      </w:r>
      <w:r>
        <w:t xml:space="preserve">(and investigating) </w:t>
      </w:r>
      <w:r w:rsidR="003A6712" w:rsidRPr="0018040C">
        <w:t>violations of</w:t>
      </w:r>
      <w:r w:rsidR="00C81631">
        <w:t xml:space="preserve"> registration requirements and/or</w:t>
      </w:r>
      <w:r w:rsidR="003A6712" w:rsidRPr="0018040C">
        <w:t xml:space="preserve"> beneficial ownership reporting rules, where in place, with special consideration to the threat posed by relevant higher risk arrangements. </w:t>
      </w:r>
    </w:p>
    <w:p w14:paraId="5B9F9A92" w14:textId="77777777" w:rsidR="00F53734" w:rsidRPr="0018040C" w:rsidRDefault="003A6712" w:rsidP="0018040C">
      <w:pPr>
        <w:pStyle w:val="BulletedList"/>
      </w:pPr>
      <w:r w:rsidRPr="0018040C">
        <w:t xml:space="preserve">Provide sufficient verification and enforcement capacities and powers </w:t>
      </w:r>
      <w:r w:rsidR="00F53734" w:rsidRPr="0018040C">
        <w:t xml:space="preserve">to </w:t>
      </w:r>
      <w:r w:rsidRPr="0018040C">
        <w:t xml:space="preserve">the </w:t>
      </w:r>
      <w:r w:rsidR="00F53734" w:rsidRPr="0018040C">
        <w:t>competent authorities</w:t>
      </w:r>
      <w:r w:rsidR="001A7A2E">
        <w:t>.</w:t>
      </w:r>
    </w:p>
    <w:p w14:paraId="14F9BAE5" w14:textId="77777777" w:rsidR="003A6712" w:rsidRPr="0018040C" w:rsidRDefault="00F53734" w:rsidP="0018040C">
      <w:pPr>
        <w:pStyle w:val="BulletedList"/>
      </w:pPr>
      <w:r w:rsidRPr="0018040C">
        <w:lastRenderedPageBreak/>
        <w:t>Provid</w:t>
      </w:r>
      <w:r w:rsidR="007C16B9">
        <w:t>ing</w:t>
      </w:r>
      <w:r w:rsidRPr="0018040C">
        <w:t xml:space="preserve"> sufficient verification and enforcement capacities and powers to </w:t>
      </w:r>
      <w:r w:rsidR="00A13CF2" w:rsidRPr="0018040C">
        <w:t xml:space="preserve">the </w:t>
      </w:r>
      <w:r w:rsidR="003A6712" w:rsidRPr="0018040C">
        <w:t>trust registry (if it exists), beneficial ownership registry (if it exists), TCSP supervisor(s) or other relevant public body</w:t>
      </w:r>
      <w:r w:rsidR="001A7A2E">
        <w:t>.</w:t>
      </w:r>
    </w:p>
    <w:p w14:paraId="4B838D3A" w14:textId="77777777" w:rsidR="003A6712" w:rsidRDefault="003A6712" w:rsidP="0018040C">
      <w:pPr>
        <w:pStyle w:val="BulletedList"/>
      </w:pPr>
      <w:r w:rsidRPr="0018040C">
        <w:t>Introduc</w:t>
      </w:r>
      <w:r w:rsidR="007C16B9">
        <w:t>ing</w:t>
      </w:r>
      <w:r w:rsidRPr="0018040C">
        <w:t xml:space="preserve"> arrangements where actors in specific sectors, particularly those deemed to be at higher risk, can detect and report activity of concern.</w:t>
      </w:r>
    </w:p>
    <w:p w14:paraId="10CDC017" w14:textId="77777777" w:rsidR="007C16B9" w:rsidRPr="0018040C" w:rsidRDefault="007C16B9" w:rsidP="007C16B9">
      <w:pPr>
        <w:pStyle w:val="BulletedList"/>
      </w:pPr>
      <w:r>
        <w:t xml:space="preserve">Introducing </w:t>
      </w:r>
      <w:r w:rsidRPr="00F53734">
        <w:t>stronger provisions for international co</w:t>
      </w:r>
      <w:r w:rsidR="005A28A4">
        <w:t>-</w:t>
      </w:r>
      <w:r w:rsidRPr="00F53734">
        <w:t>operation, or legislative measures, such as anti-abusive provisions, limits to measures particularly vulnerable to abuse, disclosure requirements of the other parties to the trustee, etc.</w:t>
      </w:r>
    </w:p>
    <w:p w14:paraId="404EF9EA" w14:textId="77777777" w:rsidR="00D61DDC" w:rsidRDefault="00D61DDC" w:rsidP="00D61DDC">
      <w:pPr>
        <w:pStyle w:val="Para"/>
      </w:pPr>
      <w:r w:rsidRPr="00CF5AA1">
        <w:t xml:space="preserve">In the absence of registration requirements for </w:t>
      </w:r>
      <w:r>
        <w:t>express</w:t>
      </w:r>
      <w:r w:rsidRPr="00CF5AA1">
        <w:t xml:space="preserve"> trusts and similar legal arrangements governed under a country’s law</w:t>
      </w:r>
      <w:r w:rsidRPr="00337D84">
        <w:t xml:space="preserve"> </w:t>
      </w:r>
      <w:r>
        <w:t xml:space="preserve">and where failure to comply with such registration </w:t>
      </w:r>
      <w:r w:rsidRPr="003A2A46">
        <w:t>requirement</w:t>
      </w:r>
      <w:r w:rsidR="005A28A4">
        <w:t>s</w:t>
      </w:r>
      <w:r>
        <w:t xml:space="preserve"> would lead to the failure of the trust,</w:t>
      </w:r>
      <w:r w:rsidRPr="00CF5AA1">
        <w:t xml:space="preserve"> a country may find it difficult to establish the extent to which there is foreign use of trusts governed under its law</w:t>
      </w:r>
      <w:r>
        <w:t>.</w:t>
      </w:r>
      <w:r w:rsidRPr="00CF5AA1">
        <w:t xml:space="preserve"> </w:t>
      </w:r>
    </w:p>
    <w:p w14:paraId="30D64B65" w14:textId="77777777" w:rsidR="00325842" w:rsidRPr="00F53734" w:rsidRDefault="007C16B9" w:rsidP="00AB28E0">
      <w:pPr>
        <w:pStyle w:val="Para"/>
      </w:pPr>
      <w:r>
        <w:t>C</w:t>
      </w:r>
      <w:r w:rsidR="00325842" w:rsidRPr="00F53734">
        <w:t xml:space="preserve">ountries should carry out an assessment of the vulnerabilities of </w:t>
      </w:r>
      <w:r w:rsidR="005A28A4">
        <w:t>their</w:t>
      </w:r>
      <w:r w:rsidR="005A28A4" w:rsidRPr="00F53734">
        <w:t xml:space="preserve"> </w:t>
      </w:r>
      <w:r w:rsidR="00325842" w:rsidRPr="00F53734">
        <w:t xml:space="preserve">legal </w:t>
      </w:r>
      <w:r w:rsidR="00325842" w:rsidRPr="00AB28E0">
        <w:t>framework</w:t>
      </w:r>
      <w:r w:rsidR="00325842" w:rsidRPr="00F53734">
        <w:t xml:space="preserve"> in this regard to mitigate potential ML/TF abuse. For example, countries may wish to sanction trusts that operate in their country but bypass registration requirements by registering in another country. </w:t>
      </w:r>
    </w:p>
    <w:p w14:paraId="28171CD0" w14:textId="77777777" w:rsidR="003A6712" w:rsidRPr="00FD0A28" w:rsidRDefault="003A6712" w:rsidP="003A6712">
      <w:pPr>
        <w:pStyle w:val="Heading1"/>
        <w:numPr>
          <w:ilvl w:val="0"/>
          <w:numId w:val="4"/>
        </w:numPr>
        <w:ind w:right="680"/>
        <w:jc w:val="both"/>
        <w:rPr>
          <w:lang w:val="en-US"/>
        </w:rPr>
      </w:pPr>
      <w:bookmarkStart w:id="27" w:name="_Toc145618538"/>
      <w:bookmarkStart w:id="28" w:name="_Toc149217170"/>
      <w:r w:rsidRPr="00FD0A28">
        <w:t>Adequate, Accurate and up-to-date information</w:t>
      </w:r>
      <w:bookmarkEnd w:id="27"/>
      <w:bookmarkEnd w:id="28"/>
    </w:p>
    <w:p w14:paraId="19B9171B" w14:textId="77777777" w:rsidR="00353935" w:rsidRDefault="00353935" w:rsidP="003A6712">
      <w:pPr>
        <w:pStyle w:val="Heading2"/>
        <w:numPr>
          <w:ilvl w:val="1"/>
          <w:numId w:val="4"/>
        </w:numPr>
        <w:jc w:val="both"/>
        <w:rPr>
          <w:rFonts w:eastAsia="Calibri"/>
          <w:lang w:eastAsia="it-IT"/>
        </w:rPr>
      </w:pPr>
      <w:bookmarkStart w:id="29" w:name="_Toc149217171"/>
      <w:bookmarkStart w:id="30" w:name="_Toc145618539"/>
      <w:r>
        <w:rPr>
          <w:rFonts w:eastAsia="Calibri"/>
          <w:lang w:eastAsia="it-IT"/>
        </w:rPr>
        <w:t>Basic Information</w:t>
      </w:r>
      <w:bookmarkEnd w:id="29"/>
    </w:p>
    <w:p w14:paraId="6CB81B7B" w14:textId="77777777" w:rsidR="00641648" w:rsidRPr="00641648" w:rsidRDefault="007C16B9" w:rsidP="00240A30">
      <w:pPr>
        <w:pStyle w:val="Para"/>
        <w:rPr>
          <w:lang w:val="en-IE"/>
        </w:rPr>
      </w:pPr>
      <w:r w:rsidRPr="00641648">
        <w:rPr>
          <w:lang w:val="en-IE"/>
        </w:rPr>
        <w:t>Countries should require</w:t>
      </w:r>
      <w:r w:rsidR="00353935" w:rsidRPr="00641648">
        <w:rPr>
          <w:lang w:val="en-IE"/>
        </w:rPr>
        <w:t xml:space="preserve"> </w:t>
      </w:r>
      <w:r w:rsidR="00353935" w:rsidRPr="00641648" w:rsidDel="008C4C9B">
        <w:rPr>
          <w:lang w:val="en-IE"/>
        </w:rPr>
        <w:t>that</w:t>
      </w:r>
      <w:r w:rsidRPr="00641648">
        <w:rPr>
          <w:lang w:val="en-IE"/>
        </w:rPr>
        <w:t xml:space="preserve"> there is</w:t>
      </w:r>
      <w:r w:rsidR="00353935" w:rsidRPr="00641648" w:rsidDel="008C4C9B">
        <w:rPr>
          <w:lang w:val="en-IE"/>
        </w:rPr>
        <w:t xml:space="preserve"> </w:t>
      </w:r>
      <w:r w:rsidR="00353935" w:rsidRPr="00641648">
        <w:rPr>
          <w:lang w:val="en-IE"/>
        </w:rPr>
        <w:t xml:space="preserve">adequate, accurate, and up-to-date </w:t>
      </w:r>
      <w:r w:rsidR="00353935" w:rsidRPr="00641648" w:rsidDel="00AD6061">
        <w:rPr>
          <w:lang w:val="en-IE"/>
        </w:rPr>
        <w:t xml:space="preserve">basic </w:t>
      </w:r>
      <w:r w:rsidR="00353935" w:rsidRPr="00641648">
        <w:rPr>
          <w:lang w:val="en-IN"/>
        </w:rPr>
        <w:t>information</w:t>
      </w:r>
      <w:r w:rsidR="00353935" w:rsidRPr="00641648">
        <w:rPr>
          <w:lang w:val="en-IE"/>
        </w:rPr>
        <w:t xml:space="preserve"> of </w:t>
      </w:r>
      <w:r w:rsidR="00353935" w:rsidRPr="00641648" w:rsidDel="00AD6061">
        <w:rPr>
          <w:lang w:val="en-IE"/>
        </w:rPr>
        <w:t xml:space="preserve">the </w:t>
      </w:r>
      <w:r w:rsidR="00353935" w:rsidRPr="00641648">
        <w:rPr>
          <w:lang w:val="en-IE"/>
        </w:rPr>
        <w:t xml:space="preserve">trusts </w:t>
      </w:r>
      <w:r w:rsidR="00353935" w:rsidRPr="00641648" w:rsidDel="001D722A">
        <w:rPr>
          <w:lang w:val="en-IE"/>
        </w:rPr>
        <w:t>or</w:t>
      </w:r>
      <w:r w:rsidR="00353935" w:rsidRPr="00641648">
        <w:rPr>
          <w:lang w:val="en-IE"/>
        </w:rPr>
        <w:t xml:space="preserve"> other similar legal </w:t>
      </w:r>
      <w:r w:rsidR="00353935" w:rsidRPr="00AB28E0">
        <w:t>arrangements</w:t>
      </w:r>
      <w:r w:rsidR="00353935" w:rsidRPr="00641648" w:rsidDel="00952F90">
        <w:rPr>
          <w:lang w:val="en-IE"/>
        </w:rPr>
        <w:t xml:space="preserve">, trustees and trust assets, </w:t>
      </w:r>
      <w:r w:rsidR="00903551">
        <w:rPr>
          <w:lang w:val="en-IE"/>
        </w:rPr>
        <w:t xml:space="preserve">and that this </w:t>
      </w:r>
      <w:r w:rsidR="00353935" w:rsidRPr="00641648">
        <w:rPr>
          <w:lang w:val="en-IE"/>
        </w:rPr>
        <w:t>is accessible efficiently and in a timely manner by competent authorities</w:t>
      </w:r>
      <w:r w:rsidR="001A7A2E" w:rsidRPr="00641648">
        <w:rPr>
          <w:lang w:val="en-IE"/>
        </w:rPr>
        <w:t>.</w:t>
      </w:r>
      <w:r w:rsidR="00353935" w:rsidRPr="00FD0A28">
        <w:rPr>
          <w:vertAlign w:val="superscript"/>
          <w:lang w:val="en-IE"/>
        </w:rPr>
        <w:footnoteReference w:id="17"/>
      </w:r>
      <w:r w:rsidR="00353935" w:rsidRPr="00641648">
        <w:rPr>
          <w:lang w:val="en-IE"/>
        </w:rPr>
        <w:t xml:space="preserve"> </w:t>
      </w:r>
      <w:r w:rsidR="00641648" w:rsidRPr="00641648">
        <w:rPr>
          <w:lang w:val="en-IE"/>
        </w:rPr>
        <w:t xml:space="preserve">The </w:t>
      </w:r>
      <w:r w:rsidR="008A7A11">
        <w:rPr>
          <w:lang w:val="en-IE"/>
        </w:rPr>
        <w:t>IN</w:t>
      </w:r>
      <w:r w:rsidR="00641648" w:rsidRPr="00641648">
        <w:rPr>
          <w:lang w:val="en-IE"/>
        </w:rPr>
        <w:t xml:space="preserve">R.25 describes this information as including basic information and beneficial ownership information and provides that the obligation to obtain and hold the information on the trustee or person holding an equivalent position.  </w:t>
      </w:r>
    </w:p>
    <w:p w14:paraId="6E03321F" w14:textId="77777777" w:rsidR="00353935" w:rsidRPr="00FD0A28" w:rsidRDefault="00353935" w:rsidP="00AB28E0">
      <w:pPr>
        <w:pStyle w:val="Para"/>
        <w:rPr>
          <w:lang w:val="en-IE"/>
        </w:rPr>
      </w:pPr>
      <w:r>
        <w:rPr>
          <w:lang w:val="en-IE"/>
        </w:rPr>
        <w:t xml:space="preserve">Basic information </w:t>
      </w:r>
      <w:r w:rsidRPr="00FD0A28">
        <w:rPr>
          <w:lang w:val="en-IE"/>
        </w:rPr>
        <w:t xml:space="preserve">about a trust or similar legal </w:t>
      </w:r>
      <w:r w:rsidRPr="00AB28E0">
        <w:t>arrangement</w:t>
      </w:r>
      <w:r w:rsidRPr="00FD0A28">
        <w:rPr>
          <w:lang w:val="en-IE"/>
        </w:rPr>
        <w:t xml:space="preserve"> means:</w:t>
      </w:r>
    </w:p>
    <w:p w14:paraId="0BA6B398" w14:textId="77777777" w:rsidR="00353935" w:rsidRPr="00FD0A28" w:rsidRDefault="00353935" w:rsidP="00BE40ED">
      <w:pPr>
        <w:pStyle w:val="BulletedList"/>
        <w:numPr>
          <w:ilvl w:val="0"/>
          <w:numId w:val="5"/>
        </w:numPr>
        <w:rPr>
          <w:lang w:val="en-IE"/>
        </w:rPr>
      </w:pPr>
      <w:r w:rsidRPr="00FD0A28">
        <w:rPr>
          <w:lang w:val="en-IE"/>
        </w:rPr>
        <w:t xml:space="preserve">the identifier of the legal arrangement (e.g., the name, the unique identifier such as a tax identification number or equivalent, where this exists), </w:t>
      </w:r>
    </w:p>
    <w:p w14:paraId="15448A17" w14:textId="77777777" w:rsidR="00353935" w:rsidRPr="00FD0A28" w:rsidRDefault="00353935" w:rsidP="00BE40ED">
      <w:pPr>
        <w:pStyle w:val="BulletedList"/>
        <w:numPr>
          <w:ilvl w:val="0"/>
          <w:numId w:val="5"/>
        </w:numPr>
        <w:rPr>
          <w:lang w:val="en-IE"/>
        </w:rPr>
      </w:pPr>
      <w:r w:rsidRPr="00FD0A28">
        <w:rPr>
          <w:lang w:val="en-IE"/>
        </w:rPr>
        <w:t>the trust deed (or equivalent)</w:t>
      </w:r>
      <w:r>
        <w:rPr>
          <w:rStyle w:val="FootnoteReference"/>
          <w:lang w:val="en-IE"/>
        </w:rPr>
        <w:footnoteReference w:id="18"/>
      </w:r>
      <w:r w:rsidRPr="00FD0A28">
        <w:rPr>
          <w:lang w:val="en-IE"/>
        </w:rPr>
        <w:t xml:space="preserve"> and purposes, if any</w:t>
      </w:r>
      <w:r>
        <w:rPr>
          <w:rStyle w:val="FootnoteReference"/>
          <w:lang w:val="en-IE"/>
        </w:rPr>
        <w:footnoteReference w:id="19"/>
      </w:r>
      <w:r w:rsidRPr="00FD0A28">
        <w:rPr>
          <w:lang w:val="en-IE"/>
        </w:rPr>
        <w:t xml:space="preserve">, and </w:t>
      </w:r>
    </w:p>
    <w:p w14:paraId="01724CDB" w14:textId="1E604F23" w:rsidR="00353935" w:rsidRPr="00FD0A28" w:rsidRDefault="00353935" w:rsidP="00BE40ED">
      <w:pPr>
        <w:pStyle w:val="BulletedList"/>
        <w:numPr>
          <w:ilvl w:val="0"/>
          <w:numId w:val="5"/>
        </w:numPr>
        <w:rPr>
          <w:lang w:val="en-IE"/>
        </w:rPr>
      </w:pPr>
      <w:r w:rsidRPr="00FD0A28">
        <w:rPr>
          <w:lang w:val="en-IE"/>
        </w:rPr>
        <w:t>the residence of the trustee/equivalent or of the place from where the legal arrangement is administered</w:t>
      </w:r>
      <w:r w:rsidR="008A7A11">
        <w:rPr>
          <w:lang w:val="en-IE"/>
        </w:rPr>
        <w:t>.</w:t>
      </w:r>
      <w:r w:rsidRPr="00FD0A28">
        <w:rPr>
          <w:vertAlign w:val="superscript"/>
          <w:lang w:val="en-IE"/>
        </w:rPr>
        <w:footnoteReference w:id="20"/>
      </w:r>
      <w:r w:rsidRPr="00FD0A28">
        <w:rPr>
          <w:lang w:val="en-IE"/>
        </w:rPr>
        <w:t xml:space="preserve"> </w:t>
      </w:r>
    </w:p>
    <w:p w14:paraId="18FB1F63" w14:textId="77777777" w:rsidR="00353935" w:rsidRPr="00AB28E0" w:rsidRDefault="00353935" w:rsidP="00C81631">
      <w:pPr>
        <w:pStyle w:val="Para"/>
        <w:tabs>
          <w:tab w:val="num" w:pos="710"/>
        </w:tabs>
        <w:ind w:left="720"/>
      </w:pPr>
      <w:r>
        <w:rPr>
          <w:lang w:val="en-IE"/>
        </w:rPr>
        <w:t>Countries should consider mechanisms for legal</w:t>
      </w:r>
      <w:r w:rsidRPr="00FD0A28">
        <w:rPr>
          <w:lang w:val="en-IE"/>
        </w:rPr>
        <w:t xml:space="preserve"> arrangements </w:t>
      </w:r>
      <w:r>
        <w:rPr>
          <w:lang w:val="en-IE"/>
        </w:rPr>
        <w:t xml:space="preserve">to have unique identifying elements </w:t>
      </w:r>
      <w:r w:rsidR="001A7A2E">
        <w:rPr>
          <w:lang w:val="en-IE"/>
        </w:rPr>
        <w:t>facilitating</w:t>
      </w:r>
      <w:r>
        <w:rPr>
          <w:lang w:val="en-IE"/>
        </w:rPr>
        <w:t xml:space="preserve"> their </w:t>
      </w:r>
      <w:r w:rsidRPr="00FD0A28">
        <w:rPr>
          <w:lang w:val="en-IE"/>
        </w:rPr>
        <w:t xml:space="preserve">unequivocal identification. In some </w:t>
      </w:r>
      <w:r>
        <w:rPr>
          <w:lang w:val="en-IE"/>
        </w:rPr>
        <w:t>countries</w:t>
      </w:r>
      <w:r w:rsidRPr="00FD0A28">
        <w:rPr>
          <w:lang w:val="en-IE"/>
        </w:rPr>
        <w:t xml:space="preserve">, there may </w:t>
      </w:r>
      <w:r w:rsidRPr="0018040C">
        <w:t>be</w:t>
      </w:r>
      <w:r w:rsidRPr="00FD0A28">
        <w:rPr>
          <w:lang w:val="en-IE"/>
        </w:rPr>
        <w:t xml:space="preserve"> limitations on </w:t>
      </w:r>
      <w:r w:rsidR="00144852">
        <w:rPr>
          <w:lang w:val="en-IE"/>
        </w:rPr>
        <w:t>using</w:t>
      </w:r>
      <w:r w:rsidRPr="00FD0A28">
        <w:rPr>
          <w:lang w:val="en-IE"/>
        </w:rPr>
        <w:t xml:space="preserve"> and sharing tax or other identifiers or trusts and similar legal arrangements may not have tax identifiers. In such </w:t>
      </w:r>
      <w:r>
        <w:rPr>
          <w:lang w:val="en-IE"/>
        </w:rPr>
        <w:t>cases,</w:t>
      </w:r>
      <w:r w:rsidRPr="00FD0A28">
        <w:rPr>
          <w:lang w:val="en-IE"/>
        </w:rPr>
        <w:t xml:space="preserve"> it may be appropriate to consider developing </w:t>
      </w:r>
      <w:r>
        <w:rPr>
          <w:lang w:val="en-IE"/>
        </w:rPr>
        <w:t>alternative</w:t>
      </w:r>
      <w:r w:rsidRPr="00FD0A28">
        <w:rPr>
          <w:lang w:val="en-IE"/>
        </w:rPr>
        <w:t xml:space="preserve"> mechanisms or procedures to ensure legal </w:t>
      </w:r>
      <w:r w:rsidRPr="00AB28E0">
        <w:rPr>
          <w:lang w:val="en-IE"/>
        </w:rPr>
        <w:t>arrangements can be identified.</w:t>
      </w:r>
      <w:r w:rsidRPr="00AB28E0">
        <w:t xml:space="preserve"> </w:t>
      </w:r>
    </w:p>
    <w:p w14:paraId="74EFEAC9" w14:textId="77777777" w:rsidR="00353935" w:rsidRPr="00A00875" w:rsidDel="006C1A64" w:rsidRDefault="00353935" w:rsidP="00AB28E0">
      <w:pPr>
        <w:pStyle w:val="Para"/>
        <w:tabs>
          <w:tab w:val="num" w:pos="710"/>
        </w:tabs>
        <w:ind w:left="720"/>
      </w:pPr>
      <w:r w:rsidRPr="00AB28E0">
        <w:rPr>
          <w:lang w:val="en-IE"/>
        </w:rPr>
        <w:lastRenderedPageBreak/>
        <w:t>The trust’s written instrument (trust deed) is an expression of the terms of the trust and can set out who the parties to the trust or similar legal arrangement are</w:t>
      </w:r>
      <w:r w:rsidR="001A7A2E">
        <w:rPr>
          <w:lang w:val="en-IE"/>
        </w:rPr>
        <w:t>,</w:t>
      </w:r>
      <w:r w:rsidRPr="00AB28E0">
        <w:rPr>
          <w:lang w:val="en-IE"/>
        </w:rPr>
        <w:t xml:space="preserve"> as well as their rights and obligations. </w:t>
      </w:r>
      <w:r w:rsidR="00FE3FA2" w:rsidRPr="00AB28E0">
        <w:t>It can also include</w:t>
      </w:r>
      <w:r w:rsidR="006713E5" w:rsidRPr="00AB28E0">
        <w:t xml:space="preserve"> the rationale behind the formation of a trust</w:t>
      </w:r>
      <w:r w:rsidR="00FE3FA2" w:rsidRPr="00AB28E0">
        <w:t xml:space="preserve"> which</w:t>
      </w:r>
      <w:r w:rsidR="006713E5" w:rsidRPr="00AB28E0">
        <w:t xml:space="preserve"> contributes to the understanding of its purpose. </w:t>
      </w:r>
      <w:r w:rsidRPr="00AB28E0">
        <w:rPr>
          <w:lang w:val="en-IE"/>
        </w:rPr>
        <w:t xml:space="preserve">In addition, certain rights and obligations, such as </w:t>
      </w:r>
      <w:r w:rsidR="0060705A">
        <w:rPr>
          <w:lang w:val="en-IE"/>
        </w:rPr>
        <w:t>determining</w:t>
      </w:r>
      <w:r w:rsidRPr="00AB28E0">
        <w:rPr>
          <w:lang w:val="en-IE"/>
        </w:rPr>
        <w:t xml:space="preserve"> beneficiaries </w:t>
      </w:r>
      <w:r w:rsidR="00FE3FA2" w:rsidRPr="00AB28E0">
        <w:rPr>
          <w:lang w:val="en-IE"/>
        </w:rPr>
        <w:t>and the purpose</w:t>
      </w:r>
      <w:r w:rsidR="0060705A">
        <w:rPr>
          <w:lang w:val="en-IE"/>
        </w:rPr>
        <w:t>,</w:t>
      </w:r>
      <w:r w:rsidR="00FE3FA2" w:rsidRPr="00AB28E0">
        <w:rPr>
          <w:lang w:val="en-IE"/>
        </w:rPr>
        <w:t xml:space="preserve"> </w:t>
      </w:r>
      <w:r w:rsidRPr="00AB28E0">
        <w:rPr>
          <w:lang w:val="en-IE"/>
        </w:rPr>
        <w:t>may also be set out in other documents accompanying the trust’s written instrument (</w:t>
      </w:r>
      <w:r w:rsidR="00785802" w:rsidRPr="00AB28E0">
        <w:rPr>
          <w:lang w:val="en-IE"/>
        </w:rPr>
        <w:t>e.g.,</w:t>
      </w:r>
      <w:r w:rsidRPr="00AB28E0">
        <w:rPr>
          <w:lang w:val="en-IE"/>
        </w:rPr>
        <w:t xml:space="preserve"> a side letter to the trust deed or a letter of wishes). </w:t>
      </w:r>
      <w:r w:rsidRPr="00A00875" w:rsidDel="006C1A64">
        <w:t xml:space="preserve">Where the parties to the trust or other similar legal arrangement are other legal persons or arrangements, the </w:t>
      </w:r>
      <w:r w:rsidR="008A7A11">
        <w:t>INR</w:t>
      </w:r>
      <w:r w:rsidR="00E945F4">
        <w:t>.</w:t>
      </w:r>
      <w:r w:rsidRPr="00A00875" w:rsidDel="006C1A64">
        <w:t xml:space="preserve">25 provides that countries should require trustees and persons holding an equivalent position in a similar legal arrangement also </w:t>
      </w:r>
      <w:r w:rsidR="001A7A2E">
        <w:t xml:space="preserve">to </w:t>
      </w:r>
      <w:r w:rsidRPr="00A00875" w:rsidDel="006C1A64">
        <w:t xml:space="preserve">obtain and hold adequate, accurate, and up-to-date basic </w:t>
      </w:r>
      <w:r w:rsidRPr="00A00875">
        <w:t xml:space="preserve">and beneficial ownership </w:t>
      </w:r>
      <w:r w:rsidRPr="00A00875" w:rsidDel="006C1A64">
        <w:t>information of the legal persons or arrangements</w:t>
      </w:r>
      <w:r w:rsidR="00D15C75">
        <w:t xml:space="preserve"> </w:t>
      </w:r>
      <w:r w:rsidR="00D15C75" w:rsidRPr="00A00875" w:rsidDel="006C1A64">
        <w:t>(see</w:t>
      </w:r>
      <w:r w:rsidR="00D15C75" w:rsidRPr="00A00875">
        <w:t xml:space="preserve"> </w:t>
      </w:r>
      <w:r w:rsidR="00D15C75" w:rsidRPr="00A00875" w:rsidDel="006C1A64">
        <w:t>INR.</w:t>
      </w:r>
      <w:r w:rsidR="00D15C75" w:rsidRPr="00A00875">
        <w:t>25.1</w:t>
      </w:r>
      <w:r w:rsidR="00D15C75" w:rsidRPr="00A00875" w:rsidDel="006C1A64">
        <w:t>)</w:t>
      </w:r>
      <w:r w:rsidRPr="00A00875" w:rsidDel="006C1A64">
        <w:t xml:space="preserve">. </w:t>
      </w:r>
      <w:r w:rsidRPr="00A00875">
        <w:t>The basic information of the legal persons is described in INR.24.4.</w:t>
      </w:r>
    </w:p>
    <w:p w14:paraId="330F13D9" w14:textId="77777777" w:rsidR="003A6712" w:rsidRPr="00F136A5" w:rsidRDefault="003A6712" w:rsidP="003A6712">
      <w:pPr>
        <w:pStyle w:val="Heading2"/>
        <w:numPr>
          <w:ilvl w:val="1"/>
          <w:numId w:val="4"/>
        </w:numPr>
        <w:jc w:val="both"/>
        <w:rPr>
          <w:rFonts w:eastAsia="Calibri"/>
          <w:lang w:eastAsia="it-IT"/>
        </w:rPr>
      </w:pPr>
      <w:bookmarkStart w:id="31" w:name="_Toc149217172"/>
      <w:r w:rsidRPr="00FD0A28">
        <w:rPr>
          <w:rFonts w:eastAsia="Calibri"/>
          <w:lang w:eastAsia="it-IT"/>
        </w:rPr>
        <w:t>Adequate Beneficial Ownership Information</w:t>
      </w:r>
      <w:bookmarkEnd w:id="30"/>
      <w:bookmarkEnd w:id="31"/>
      <w:r w:rsidRPr="00FD0A28">
        <w:rPr>
          <w:rFonts w:eastAsia="Calibri"/>
          <w:lang w:eastAsia="it-IT"/>
        </w:rPr>
        <w:t xml:space="preserve"> </w:t>
      </w:r>
    </w:p>
    <w:p w14:paraId="64794093" w14:textId="77777777" w:rsidR="003A6712" w:rsidRPr="00AB28E0" w:rsidRDefault="00785802" w:rsidP="00A00875">
      <w:pPr>
        <w:pStyle w:val="Para"/>
        <w:tabs>
          <w:tab w:val="clear" w:pos="680"/>
          <w:tab w:val="num" w:pos="1135"/>
        </w:tabs>
        <w:ind w:left="720"/>
        <w:rPr>
          <w:rFonts w:eastAsia="Calibri"/>
          <w:lang w:val="en-IE"/>
        </w:rPr>
      </w:pPr>
      <w:r>
        <w:rPr>
          <w:rFonts w:eastAsia="Calibri"/>
          <w:lang w:val="en-IE"/>
        </w:rPr>
        <w:t>Countries should</w:t>
      </w:r>
      <w:r w:rsidR="003A6712" w:rsidRPr="00A00875">
        <w:rPr>
          <w:rFonts w:eastAsia="Calibri"/>
          <w:lang w:val="en-IE"/>
        </w:rPr>
        <w:t xml:space="preserve"> have mechanisms in place that ensure beneficial ownership information on trusts and other similar legal arrangements is adequate. Adequate information is </w:t>
      </w:r>
      <w:r w:rsidR="00533E92" w:rsidRPr="00A00875">
        <w:rPr>
          <w:rFonts w:eastAsia="Calibri"/>
          <w:lang w:val="en-IE"/>
        </w:rPr>
        <w:t>data</w:t>
      </w:r>
      <w:r w:rsidR="003A6712" w:rsidRPr="00A00875">
        <w:rPr>
          <w:rFonts w:eastAsia="Calibri"/>
          <w:lang w:val="en-IE"/>
        </w:rPr>
        <w:t xml:space="preserve"> that is sufficient to identify the natural persons who are the beneficial owner(s), and their role in the legal arrangement. </w:t>
      </w:r>
      <w:r w:rsidR="00D15C75">
        <w:rPr>
          <w:rFonts w:eastAsia="Calibri"/>
          <w:lang w:val="en-IE"/>
        </w:rPr>
        <w:t>W</w:t>
      </w:r>
      <w:r w:rsidR="003A6712" w:rsidRPr="00A00875">
        <w:rPr>
          <w:rFonts w:eastAsia="Calibri"/>
          <w:lang w:val="en-IE"/>
        </w:rPr>
        <w:t xml:space="preserve">here the trustee (or person holding an equivalent position in a similar legal arrangement) and any other party to the trust (or legal arrangement) is a legal person </w:t>
      </w:r>
      <w:r w:rsidR="003A6712" w:rsidRPr="00BD2CCD">
        <w:rPr>
          <w:rFonts w:eastAsia="Calibri"/>
          <w:lang w:val="en-IE"/>
        </w:rPr>
        <w:t xml:space="preserve">or legal </w:t>
      </w:r>
      <w:r w:rsidR="003A6712" w:rsidRPr="00AB28E0">
        <w:rPr>
          <w:rFonts w:eastAsia="Calibri"/>
          <w:lang w:val="en-IE"/>
        </w:rPr>
        <w:t xml:space="preserve">arrangement, the beneficial owner of that legal person or legal arrangement should be identified in accordance with the methods specified in relation to </w:t>
      </w:r>
      <w:r w:rsidR="00E945F4">
        <w:rPr>
          <w:rFonts w:eastAsia="Calibri"/>
          <w:lang w:val="en-IE"/>
        </w:rPr>
        <w:t>R.</w:t>
      </w:r>
      <w:r w:rsidR="003A6712" w:rsidRPr="00AB28E0">
        <w:rPr>
          <w:rFonts w:eastAsia="Calibri"/>
          <w:lang w:val="en-IE"/>
        </w:rPr>
        <w:t>24</w:t>
      </w:r>
      <w:r w:rsidR="00BD2CCD" w:rsidRPr="00AB28E0">
        <w:rPr>
          <w:rFonts w:eastAsia="Calibri"/>
          <w:lang w:val="en-IE"/>
        </w:rPr>
        <w:t xml:space="preserve"> and </w:t>
      </w:r>
      <w:r w:rsidR="008A7A11">
        <w:rPr>
          <w:rFonts w:eastAsia="Calibri"/>
          <w:lang w:val="en-IE"/>
        </w:rPr>
        <w:t>R.</w:t>
      </w:r>
      <w:r w:rsidR="00BD2CCD" w:rsidRPr="00AB28E0">
        <w:rPr>
          <w:rFonts w:eastAsia="Calibri"/>
          <w:lang w:val="en-IE"/>
        </w:rPr>
        <w:t>25</w:t>
      </w:r>
      <w:r w:rsidR="00716006" w:rsidRPr="00AB28E0">
        <w:rPr>
          <w:rFonts w:eastAsia="Calibri"/>
          <w:lang w:val="en-IE"/>
        </w:rPr>
        <w:t>.</w:t>
      </w:r>
    </w:p>
    <w:p w14:paraId="1AAF31F4" w14:textId="77777777" w:rsidR="003A6712" w:rsidRPr="00AB28E0" w:rsidRDefault="003A6712" w:rsidP="00A00875">
      <w:pPr>
        <w:pStyle w:val="Para"/>
        <w:tabs>
          <w:tab w:val="clear" w:pos="680"/>
          <w:tab w:val="num" w:pos="1135"/>
        </w:tabs>
        <w:ind w:left="720"/>
        <w:rPr>
          <w:rFonts w:eastAsia="Calibri"/>
          <w:lang w:val="en-IE"/>
        </w:rPr>
      </w:pPr>
      <w:r w:rsidRPr="00AB28E0">
        <w:rPr>
          <w:rFonts w:eastAsia="Calibri"/>
          <w:lang w:val="en-IE"/>
        </w:rPr>
        <w:t>The requirement to obtain adequate information specifically concerns “trustees of any express trust and persons holding an equivalent position in a similar legal arrangement, that are residents in their country or that administer any express trusts or similar legal arrangements in their country” (as per the INR.25).</w:t>
      </w:r>
    </w:p>
    <w:p w14:paraId="4E1C1C5B" w14:textId="77777777" w:rsidR="003A6712" w:rsidRPr="00A00875" w:rsidRDefault="003A6712" w:rsidP="00A00875">
      <w:pPr>
        <w:pStyle w:val="Para"/>
        <w:tabs>
          <w:tab w:val="clear" w:pos="680"/>
          <w:tab w:val="num" w:pos="1135"/>
        </w:tabs>
        <w:ind w:left="720"/>
        <w:rPr>
          <w:rFonts w:eastAsia="Calibri"/>
          <w:lang w:val="en-IE"/>
        </w:rPr>
      </w:pPr>
      <w:r w:rsidRPr="00AB28E0">
        <w:rPr>
          <w:rFonts w:eastAsia="Calibri"/>
          <w:lang w:val="en-IE"/>
        </w:rPr>
        <w:t>The trust instrument or equivalent document for other legal arrangements should be the primary source for</w:t>
      </w:r>
      <w:r w:rsidR="00BD2CCD" w:rsidRPr="00AB28E0">
        <w:rPr>
          <w:rFonts w:eastAsia="Calibri"/>
          <w:lang w:val="en-IE"/>
        </w:rPr>
        <w:t xml:space="preserve"> information on trust parties</w:t>
      </w:r>
      <w:r w:rsidRPr="00AB28E0">
        <w:rPr>
          <w:rFonts w:eastAsia="Calibri"/>
          <w:lang w:val="en-IE"/>
        </w:rPr>
        <w:t>. While it would be expected that the adequate information about the trust is included in the trust deed, some information may be included in other documents accompanying</w:t>
      </w:r>
      <w:r w:rsidRPr="00A00875">
        <w:rPr>
          <w:rFonts w:eastAsia="Calibri"/>
          <w:lang w:val="en-IE"/>
        </w:rPr>
        <w:t xml:space="preserve"> the trust deed.</w:t>
      </w:r>
    </w:p>
    <w:p w14:paraId="2778AA2C" w14:textId="77777777" w:rsidR="003A6712" w:rsidRDefault="003A6712" w:rsidP="00A00875">
      <w:pPr>
        <w:pStyle w:val="Para"/>
        <w:tabs>
          <w:tab w:val="clear" w:pos="680"/>
          <w:tab w:val="num" w:pos="1135"/>
        </w:tabs>
        <w:ind w:left="720"/>
      </w:pPr>
      <w:r w:rsidRPr="00A00875">
        <w:rPr>
          <w:rFonts w:eastAsia="Calibri"/>
          <w:lang w:val="en-IE"/>
        </w:rPr>
        <w:t>As per INR.24, the information considered necessary to identify a person is e.g., first and last name, nationality(</w:t>
      </w:r>
      <w:proofErr w:type="spellStart"/>
      <w:r w:rsidRPr="00A00875">
        <w:rPr>
          <w:rFonts w:eastAsia="Calibri"/>
          <w:lang w:val="en-IE"/>
        </w:rPr>
        <w:t>ies</w:t>
      </w:r>
      <w:proofErr w:type="spellEnd"/>
      <w:r w:rsidRPr="00A00875">
        <w:rPr>
          <w:rFonts w:eastAsia="Calibri"/>
          <w:lang w:val="en-IE"/>
        </w:rPr>
        <w:t>)</w:t>
      </w:r>
      <w:r w:rsidR="00E905E9">
        <w:rPr>
          <w:rFonts w:eastAsia="Calibri"/>
          <w:lang w:val="en-IE"/>
        </w:rPr>
        <w:t>,</w:t>
      </w:r>
      <w:r w:rsidRPr="00A00875">
        <w:rPr>
          <w:rFonts w:eastAsia="Calibri"/>
          <w:lang w:val="en-IE"/>
        </w:rPr>
        <w:t xml:space="preserve"> and date of birth. Other information may be useful to further confirm the identity of a person, such as a unique national identification number (e.g., an</w:t>
      </w:r>
      <w:r>
        <w:t xml:space="preserve"> internal administration number, a tax registration number, an identity number</w:t>
      </w:r>
      <w:r w:rsidR="00E905E9">
        <w:t>,</w:t>
      </w:r>
      <w:r>
        <w:t xml:space="preserve"> or a social security number), passport number and document type, place of birth and residential address. </w:t>
      </w:r>
    </w:p>
    <w:p w14:paraId="5B252F07" w14:textId="77777777" w:rsidR="003A6712" w:rsidRPr="00A00875" w:rsidRDefault="003A6712" w:rsidP="00A00875">
      <w:pPr>
        <w:pStyle w:val="Para"/>
        <w:tabs>
          <w:tab w:val="clear" w:pos="680"/>
          <w:tab w:val="num" w:pos="1135"/>
        </w:tabs>
        <w:ind w:left="720"/>
        <w:rPr>
          <w:rFonts w:eastAsia="Calibri"/>
          <w:lang w:val="en-IE"/>
        </w:rPr>
      </w:pPr>
      <w:r w:rsidRPr="00A00875">
        <w:rPr>
          <w:rFonts w:eastAsia="Calibri"/>
          <w:lang w:val="en-IE"/>
        </w:rPr>
        <w:t>The information</w:t>
      </w:r>
      <w:r w:rsidR="00072ABB">
        <w:rPr>
          <w:rFonts w:eastAsia="Calibri"/>
          <w:lang w:val="en-IE"/>
        </w:rPr>
        <w:t xml:space="preserve"> obtained</w:t>
      </w:r>
      <w:r w:rsidRPr="00A00875">
        <w:rPr>
          <w:rFonts w:eastAsia="Calibri"/>
          <w:lang w:val="en-IE"/>
        </w:rPr>
        <w:t xml:space="preserve"> on the role of the beneficial owner in the legal arrangement must </w:t>
      </w:r>
      <w:r w:rsidR="00072ABB">
        <w:rPr>
          <w:rFonts w:eastAsia="Calibri"/>
          <w:lang w:val="en-IE"/>
        </w:rPr>
        <w:t>make clear whether this</w:t>
      </w:r>
      <w:r w:rsidRPr="00A00875">
        <w:rPr>
          <w:rFonts w:eastAsia="Calibri"/>
          <w:lang w:val="en-IE"/>
        </w:rPr>
        <w:t xml:space="preserve"> beneficial owner is the settlor, trustee, protector, beneficiary</w:t>
      </w:r>
      <w:r w:rsidR="002672A3">
        <w:rPr>
          <w:rFonts w:eastAsia="Calibri"/>
          <w:lang w:val="en-IE"/>
        </w:rPr>
        <w:t>,</w:t>
      </w:r>
      <w:r w:rsidRPr="00A00875">
        <w:rPr>
          <w:rFonts w:eastAsia="Calibri"/>
          <w:lang w:val="en-IE"/>
        </w:rPr>
        <w:t xml:space="preserve"> or a natural person exercising ultimate effective control over the trust. </w:t>
      </w:r>
    </w:p>
    <w:p w14:paraId="3C89FF9A" w14:textId="77777777" w:rsidR="003A6712" w:rsidRPr="00A00875" w:rsidRDefault="003A6712" w:rsidP="00240A30">
      <w:pPr>
        <w:pStyle w:val="Para"/>
        <w:tabs>
          <w:tab w:val="num" w:pos="1135"/>
        </w:tabs>
        <w:ind w:left="720"/>
        <w:rPr>
          <w:lang w:val="en-IE"/>
        </w:rPr>
      </w:pPr>
      <w:r w:rsidRPr="00A00875">
        <w:rPr>
          <w:lang w:val="en-IE"/>
        </w:rPr>
        <w:t>If parties to the trust are legal person</w:t>
      </w:r>
      <w:r w:rsidR="00072ABB">
        <w:rPr>
          <w:lang w:val="en-IE"/>
        </w:rPr>
        <w:t>s</w:t>
      </w:r>
      <w:r w:rsidRPr="00A00875">
        <w:rPr>
          <w:lang w:val="en-IE"/>
        </w:rPr>
        <w:t xml:space="preserve"> or arrangement</w:t>
      </w:r>
      <w:r w:rsidR="00072ABB">
        <w:rPr>
          <w:lang w:val="en-IE"/>
        </w:rPr>
        <w:t>s</w:t>
      </w:r>
      <w:r w:rsidRPr="00A00875">
        <w:rPr>
          <w:lang w:val="en-IE"/>
        </w:rPr>
        <w:t xml:space="preserve">, </w:t>
      </w:r>
      <w:r w:rsidR="004E5C97">
        <w:rPr>
          <w:lang w:val="en-IE"/>
        </w:rPr>
        <w:t xml:space="preserve">countries may consider whether </w:t>
      </w:r>
      <w:r w:rsidRPr="00A00875">
        <w:rPr>
          <w:lang w:val="en-IE"/>
        </w:rPr>
        <w:t xml:space="preserve">the information on these parties should include the information on their beneficial owners, including the means and </w:t>
      </w:r>
      <w:r w:rsidRPr="00641648">
        <w:t>mechanisms</w:t>
      </w:r>
      <w:r w:rsidRPr="00A00875">
        <w:rPr>
          <w:lang w:val="en-IE"/>
        </w:rPr>
        <w:t xml:space="preserve"> through which the beneficial owner exercises beneficial ownership and the scope of their beneficial interest in the legal person or arrangement. Other information that may be useful could include information on legal intermediaries or legal entities involved in the chain. </w:t>
      </w:r>
    </w:p>
    <w:p w14:paraId="151F8B8B" w14:textId="77777777" w:rsidR="00641648" w:rsidRDefault="003A6712" w:rsidP="00641648">
      <w:pPr>
        <w:pStyle w:val="Para"/>
        <w:tabs>
          <w:tab w:val="clear" w:pos="680"/>
          <w:tab w:val="num" w:pos="1135"/>
        </w:tabs>
        <w:ind w:left="720"/>
        <w:rPr>
          <w:rFonts w:eastAsia="Calibri"/>
          <w:lang w:val="en-IE"/>
        </w:rPr>
      </w:pPr>
      <w:r w:rsidRPr="00AB28E0">
        <w:rPr>
          <w:rFonts w:eastAsia="Calibri"/>
          <w:lang w:val="en-IE"/>
        </w:rPr>
        <w:t xml:space="preserve">As stated in INR25, </w:t>
      </w:r>
      <w:r w:rsidR="00BD2CCD" w:rsidRPr="00AB28E0">
        <w:rPr>
          <w:rFonts w:eastAsia="Calibri"/>
          <w:lang w:val="en-IE"/>
        </w:rPr>
        <w:t xml:space="preserve">and further to the risk-based approach, </w:t>
      </w:r>
      <w:r w:rsidRPr="00AB28E0">
        <w:rPr>
          <w:rFonts w:eastAsia="Calibri"/>
          <w:lang w:val="en-IE"/>
        </w:rPr>
        <w:t>trustees and their equivalents are not expected to obtain fully adequate and accurate information on the beneficiary(</w:t>
      </w:r>
      <w:proofErr w:type="spellStart"/>
      <w:r w:rsidRPr="00AB28E0">
        <w:rPr>
          <w:rFonts w:eastAsia="Calibri"/>
          <w:lang w:val="en-IE"/>
        </w:rPr>
        <w:t>ies</w:t>
      </w:r>
      <w:proofErr w:type="spellEnd"/>
      <w:r w:rsidRPr="00AB28E0">
        <w:rPr>
          <w:rFonts w:eastAsia="Calibri"/>
          <w:lang w:val="en-IE"/>
        </w:rPr>
        <w:t xml:space="preserve">) of trusts/similar legal arrangement which are designated by characteristics </w:t>
      </w:r>
      <w:r w:rsidRPr="00AB28E0">
        <w:rPr>
          <w:rFonts w:eastAsia="Calibri"/>
          <w:lang w:val="en-IE"/>
        </w:rPr>
        <w:lastRenderedPageBreak/>
        <w:t xml:space="preserve">or by class until the person becomes entitled as beneficiary at the time of </w:t>
      </w:r>
      <w:proofErr w:type="spellStart"/>
      <w:r w:rsidRPr="00AB28E0">
        <w:rPr>
          <w:rFonts w:eastAsia="Calibri"/>
          <w:lang w:val="en-IE"/>
        </w:rPr>
        <w:t>payout</w:t>
      </w:r>
      <w:proofErr w:type="spellEnd"/>
      <w:r w:rsidRPr="00AB28E0">
        <w:rPr>
          <w:rFonts w:eastAsia="Calibri"/>
          <w:lang w:val="en-IE"/>
        </w:rPr>
        <w:t xml:space="preserve"> or when the beneficiary intends to exercise vested rights. In such cases, the trustee is expected to obtain and hold information that clearly identifies the characteristics or class of beneficiaries. However, when the beneficiary(</w:t>
      </w:r>
      <w:proofErr w:type="spellStart"/>
      <w:r w:rsidRPr="00AB28E0">
        <w:rPr>
          <w:rFonts w:eastAsia="Calibri"/>
          <w:lang w:val="en-IE"/>
        </w:rPr>
        <w:t>ies</w:t>
      </w:r>
      <w:proofErr w:type="spellEnd"/>
      <w:r w:rsidRPr="00AB28E0">
        <w:rPr>
          <w:rFonts w:eastAsia="Calibri"/>
          <w:lang w:val="en-IE"/>
        </w:rPr>
        <w:t>) become</w:t>
      </w:r>
      <w:r w:rsidR="00277570" w:rsidRPr="00AB28E0">
        <w:rPr>
          <w:rFonts w:eastAsia="Calibri"/>
          <w:lang w:val="en-IE"/>
        </w:rPr>
        <w:t>s entitled</w:t>
      </w:r>
      <w:r w:rsidRPr="00A00875">
        <w:rPr>
          <w:rFonts w:eastAsia="Calibri"/>
          <w:lang w:val="en-IE"/>
        </w:rPr>
        <w:t xml:space="preserve">, the trustee should obtain and hold information on </w:t>
      </w:r>
      <w:r w:rsidRPr="00AB28E0">
        <w:rPr>
          <w:rFonts w:eastAsia="Calibri"/>
          <w:lang w:val="en-IE"/>
        </w:rPr>
        <w:t>their identity</w:t>
      </w:r>
      <w:r w:rsidR="00AB28E0" w:rsidRPr="00AB28E0">
        <w:rPr>
          <w:rFonts w:eastAsia="Calibri"/>
          <w:lang w:val="en-IE"/>
        </w:rPr>
        <w:t>.</w:t>
      </w:r>
    </w:p>
    <w:p w14:paraId="763909BE" w14:textId="77777777" w:rsidR="0076404F" w:rsidRPr="00C81631" w:rsidRDefault="0076404F" w:rsidP="00BD75D6">
      <w:pPr>
        <w:pStyle w:val="Para"/>
        <w:numPr>
          <w:ilvl w:val="0"/>
          <w:numId w:val="24"/>
        </w:numPr>
        <w:tabs>
          <w:tab w:val="num" w:pos="1135"/>
        </w:tabs>
        <w:ind w:left="720"/>
        <w:rPr>
          <w:rFonts w:eastAsia="Calibri"/>
          <w:lang w:val="en-IE"/>
        </w:rPr>
      </w:pPr>
      <w:r w:rsidRPr="00C74D28">
        <w:t xml:space="preserve">Trustees may take a risk-based approach to determine the detail of information that they should hold about objects of a power. If an object of a power is named in the </w:t>
      </w:r>
      <w:r w:rsidRPr="00C81631">
        <w:rPr>
          <w:rFonts w:eastAsia="Calibri"/>
          <w:lang w:val="en-IE"/>
        </w:rPr>
        <w:t xml:space="preserve">trust deed or the trustee has exercised its power in favour of a specific beneficiary, then it may be appropriate for the trustee to hold, verify and report (where applicable) information about that beneficiary. However, where the class of objects is very broad it may be appropriate to hold information about the characteristics of a class that </w:t>
      </w:r>
      <w:r w:rsidR="00E945F4">
        <w:rPr>
          <w:rFonts w:eastAsia="Calibri"/>
          <w:lang w:val="en-IE"/>
        </w:rPr>
        <w:t xml:space="preserve">would </w:t>
      </w:r>
      <w:r w:rsidRPr="00C81631">
        <w:rPr>
          <w:rFonts w:eastAsia="Calibri"/>
          <w:lang w:val="en-IE"/>
        </w:rPr>
        <w:t xml:space="preserve">allow </w:t>
      </w:r>
      <w:r w:rsidR="00626D3E">
        <w:rPr>
          <w:rFonts w:eastAsia="Calibri"/>
          <w:lang w:val="en-IE"/>
        </w:rPr>
        <w:t>the accurate determination</w:t>
      </w:r>
      <w:r w:rsidR="00E945F4">
        <w:rPr>
          <w:rFonts w:eastAsia="Calibri"/>
          <w:lang w:val="en-IE"/>
        </w:rPr>
        <w:t xml:space="preserve"> and</w:t>
      </w:r>
      <w:r w:rsidRPr="00C81631">
        <w:rPr>
          <w:rFonts w:eastAsia="Calibri"/>
          <w:lang w:val="en-IE"/>
        </w:rPr>
        <w:t xml:space="preserve"> identify whether any specified beneficiary is a member of the class.  </w:t>
      </w:r>
    </w:p>
    <w:p w14:paraId="0537AB59" w14:textId="77777777" w:rsidR="00641648" w:rsidRDefault="00641648" w:rsidP="00C81631">
      <w:pPr>
        <w:pStyle w:val="Para"/>
        <w:tabs>
          <w:tab w:val="num" w:pos="1135"/>
        </w:tabs>
        <w:ind w:left="720"/>
        <w:rPr>
          <w:lang w:val="en-IE"/>
        </w:rPr>
      </w:pPr>
      <w:r w:rsidRPr="00240A30">
        <w:rPr>
          <w:rFonts w:eastAsia="Calibri"/>
          <w:lang w:val="en-IE"/>
        </w:rPr>
        <w:t>Where individuals are identified as objects of a power</w:t>
      </w:r>
      <w:r w:rsidR="002672A3">
        <w:rPr>
          <w:rFonts w:eastAsia="Calibri"/>
          <w:lang w:val="en-IE"/>
        </w:rPr>
        <w:t>,</w:t>
      </w:r>
      <w:r w:rsidRPr="00240A30">
        <w:rPr>
          <w:rFonts w:eastAsia="Calibri"/>
          <w:lang w:val="en-IE"/>
        </w:rPr>
        <w:t xml:space="preserve"> the trustee should obtain and hold, as a</w:t>
      </w:r>
      <w:r w:rsidRPr="00641648">
        <w:rPr>
          <w:lang w:val="en-IE"/>
        </w:rPr>
        <w:t xml:space="preserve"> </w:t>
      </w:r>
      <w:r w:rsidRPr="0076404F">
        <w:rPr>
          <w:lang w:val="en-IE"/>
        </w:rPr>
        <w:t>minimum</w:t>
      </w:r>
      <w:r w:rsidRPr="00641648">
        <w:rPr>
          <w:lang w:val="en-IE"/>
        </w:rPr>
        <w:t xml:space="preserve">, sufficient details to be able to identify and verify the identity of such individual in the event that a discretion or power is to be exercised by the trustee in favour of such object of power, resulting in the identification of a beneficiary. </w:t>
      </w:r>
    </w:p>
    <w:p w14:paraId="43B52968" w14:textId="450B8F40" w:rsidR="003A6712" w:rsidRPr="005B0DC7" w:rsidRDefault="003A6712" w:rsidP="00A00875">
      <w:pPr>
        <w:pStyle w:val="Para"/>
        <w:tabs>
          <w:tab w:val="clear" w:pos="680"/>
          <w:tab w:val="num" w:pos="1135"/>
        </w:tabs>
        <w:ind w:left="720"/>
      </w:pPr>
      <w:r w:rsidRPr="0071117C">
        <w:rPr>
          <w:rFonts w:eastAsia="Calibri"/>
          <w:lang w:val="en-IE"/>
        </w:rPr>
        <w:t xml:space="preserve">It </w:t>
      </w:r>
      <w:r w:rsidR="00D359A5" w:rsidRPr="0071117C">
        <w:rPr>
          <w:rFonts w:eastAsia="Calibri"/>
          <w:lang w:val="en-IE"/>
        </w:rPr>
        <w:t xml:space="preserve">is </w:t>
      </w:r>
      <w:r w:rsidR="008A79C8" w:rsidRPr="0071117C">
        <w:rPr>
          <w:rFonts w:eastAsia="Calibri"/>
          <w:lang w:val="en-IE"/>
        </w:rPr>
        <w:t>not mandatory</w:t>
      </w:r>
      <w:r w:rsidRPr="0071117C">
        <w:rPr>
          <w:rFonts w:eastAsia="Calibri"/>
          <w:lang w:val="en-IE"/>
        </w:rPr>
        <w:t xml:space="preserve"> to obtain </w:t>
      </w:r>
      <w:r w:rsidRPr="00A00875">
        <w:rPr>
          <w:rFonts w:eastAsia="Calibri"/>
          <w:lang w:val="en-IE"/>
        </w:rPr>
        <w:t>official identity documentation as the object of a power might not be yet aware of the existence of the trust itself. In such a case, verification</w:t>
      </w:r>
      <w:r w:rsidRPr="005B0DC7">
        <w:t xml:space="preserve"> measures that can be deployed on a risk sensitive basis include:</w:t>
      </w:r>
    </w:p>
    <w:p w14:paraId="18025DD7" w14:textId="77777777" w:rsidR="003A6712" w:rsidRPr="005B0DC7" w:rsidRDefault="003A6712" w:rsidP="00BD75D6">
      <w:pPr>
        <w:pStyle w:val="BulletedList"/>
        <w:numPr>
          <w:ilvl w:val="0"/>
          <w:numId w:val="26"/>
        </w:numPr>
      </w:pPr>
      <w:r w:rsidRPr="005B0DC7">
        <w:t>obtaining a declaration confirming the identification details of the object of a power from the settlor (in the case of trustees)</w:t>
      </w:r>
      <w:r>
        <w:t>;</w:t>
      </w:r>
    </w:p>
    <w:p w14:paraId="2DD6B987" w14:textId="77777777" w:rsidR="003A6712" w:rsidRPr="005B0DC7" w:rsidRDefault="003A6712" w:rsidP="00BD75D6">
      <w:pPr>
        <w:pStyle w:val="BulletedList"/>
        <w:numPr>
          <w:ilvl w:val="0"/>
          <w:numId w:val="26"/>
        </w:numPr>
      </w:pPr>
      <w:r w:rsidRPr="005B0DC7">
        <w:t>relying on any identification details that might be available in a trust deed, letter of wishes or similar document</w:t>
      </w:r>
      <w:r>
        <w:t>; or</w:t>
      </w:r>
    </w:p>
    <w:p w14:paraId="21984144" w14:textId="77777777" w:rsidR="003A6712" w:rsidRDefault="003A6712" w:rsidP="00BD75D6">
      <w:pPr>
        <w:pStyle w:val="BulletedList"/>
        <w:numPr>
          <w:ilvl w:val="0"/>
          <w:numId w:val="26"/>
        </w:numPr>
      </w:pPr>
      <w:r w:rsidRPr="005B0DC7">
        <w:t>verify</w:t>
      </w:r>
      <w:r w:rsidR="00072ABB">
        <w:t>ing</w:t>
      </w:r>
      <w:r w:rsidRPr="005B0DC7">
        <w:t xml:space="preserve"> the information from publicly available sources or accessible registries</w:t>
      </w:r>
      <w:r>
        <w:t>.</w:t>
      </w:r>
    </w:p>
    <w:p w14:paraId="690CA3A5" w14:textId="77777777" w:rsidR="003A6712" w:rsidRPr="00D127CA" w:rsidRDefault="003A6712" w:rsidP="003A6712">
      <w:pPr>
        <w:pStyle w:val="Heading2"/>
        <w:numPr>
          <w:ilvl w:val="1"/>
          <w:numId w:val="4"/>
        </w:numPr>
        <w:jc w:val="both"/>
      </w:pPr>
      <w:bookmarkStart w:id="32" w:name="_Toc145618540"/>
      <w:bookmarkStart w:id="33" w:name="_Toc149217173"/>
      <w:r>
        <w:t xml:space="preserve">Accurate </w:t>
      </w:r>
      <w:r w:rsidRPr="006B2897">
        <w:rPr>
          <w:rFonts w:eastAsia="Calibri"/>
          <w:lang w:eastAsia="it-IT"/>
        </w:rPr>
        <w:t>Beneficial</w:t>
      </w:r>
      <w:r>
        <w:t xml:space="preserve"> Ownership Information</w:t>
      </w:r>
      <w:bookmarkEnd w:id="32"/>
      <w:bookmarkEnd w:id="33"/>
      <w:r>
        <w:t xml:space="preserve"> </w:t>
      </w:r>
    </w:p>
    <w:p w14:paraId="24EED7E5" w14:textId="77777777" w:rsidR="003A6712" w:rsidRPr="001F61E3" w:rsidRDefault="003A6712" w:rsidP="00A00875">
      <w:pPr>
        <w:pStyle w:val="Para"/>
        <w:tabs>
          <w:tab w:val="clear" w:pos="680"/>
          <w:tab w:val="num" w:pos="1135"/>
        </w:tabs>
        <w:ind w:left="720"/>
      </w:pPr>
      <w:r w:rsidRPr="00A00875">
        <w:t xml:space="preserve">Countries may adopt different verification mechanisms at the various stages </w:t>
      </w:r>
      <w:r w:rsidR="00072ABB">
        <w:t xml:space="preserve">(as outlined below) </w:t>
      </w:r>
      <w:r w:rsidRPr="00A00875">
        <w:t xml:space="preserve">to ensure that the beneficial ownership information is accurate (INR.25 paragraph 6). Verification </w:t>
      </w:r>
      <w:r w:rsidRPr="001F61E3">
        <w:t>may require professional expertise.</w:t>
      </w:r>
      <w:r w:rsidRPr="001F61E3">
        <w:rPr>
          <w:vertAlign w:val="superscript"/>
        </w:rPr>
        <w:pgNum/>
      </w:r>
      <w:r w:rsidR="004905D2" w:rsidRPr="001F61E3">
        <w:t xml:space="preserve"> </w:t>
      </w:r>
    </w:p>
    <w:p w14:paraId="79DD35B1" w14:textId="77777777" w:rsidR="003A6712" w:rsidRPr="001F61E3" w:rsidRDefault="002672A3" w:rsidP="00A00875">
      <w:pPr>
        <w:pStyle w:val="Para"/>
        <w:tabs>
          <w:tab w:val="clear" w:pos="680"/>
          <w:tab w:val="num" w:pos="1135"/>
        </w:tabs>
        <w:ind w:left="720"/>
      </w:pPr>
      <w:r>
        <w:t>Verifying</w:t>
      </w:r>
      <w:r w:rsidR="003A6712" w:rsidRPr="001F61E3">
        <w:t xml:space="preserve"> </w:t>
      </w:r>
      <w:r w:rsidR="00C81631">
        <w:t>beneficial ownership information</w:t>
      </w:r>
      <w:r w:rsidR="003A6712" w:rsidRPr="001F61E3">
        <w:t xml:space="preserve"> could involve a review of documents submitted (e.g., trust instrument and any other document identifying beneficial owners, such as letters of wishes etc</w:t>
      </w:r>
      <w:r>
        <w:t>.</w:t>
      </w:r>
      <w:r w:rsidR="003A6712" w:rsidRPr="001F61E3">
        <w:t>). Verifying beneficial ownership information could also include, depending on the level of risk, use of government-issued identity documents, and manual or automated cross-checks with relevant government and other available databases (e.g., bank account registries, population or national identity registers, taxpayers</w:t>
      </w:r>
      <w:r>
        <w:t>’</w:t>
      </w:r>
      <w:r w:rsidR="003A6712" w:rsidRPr="001F61E3">
        <w:t xml:space="preserve"> identification register, vehicles</w:t>
      </w:r>
      <w:r>
        <w:t>,</w:t>
      </w:r>
      <w:r w:rsidR="003A6712" w:rsidRPr="001F61E3">
        <w:t xml:space="preserve"> and land registries). </w:t>
      </w:r>
    </w:p>
    <w:p w14:paraId="3661CEC6" w14:textId="77777777" w:rsidR="003A6712" w:rsidRPr="001F61E3" w:rsidRDefault="003A6712" w:rsidP="00A00875">
      <w:pPr>
        <w:pStyle w:val="Para"/>
        <w:tabs>
          <w:tab w:val="clear" w:pos="680"/>
          <w:tab w:val="num" w:pos="1135"/>
        </w:tabs>
        <w:ind w:left="720"/>
      </w:pPr>
      <w:r w:rsidRPr="001F61E3">
        <w:t xml:space="preserve">Verification of beneficial </w:t>
      </w:r>
      <w:proofErr w:type="gramStart"/>
      <w:r w:rsidRPr="001F61E3">
        <w:t>owners</w:t>
      </w:r>
      <w:proofErr w:type="gramEnd"/>
      <w:r w:rsidRPr="001F61E3">
        <w:t xml:space="preserve"> </w:t>
      </w:r>
      <w:r w:rsidR="00533E92">
        <w:t xml:space="preserve">identity </w:t>
      </w:r>
      <w:r w:rsidRPr="001F61E3">
        <w:t xml:space="preserve">may take place during various stages or processes, depending on the approach to holding beneficial ownership information followed in each country. The chosen approach </w:t>
      </w:r>
      <w:r w:rsidR="001F61E3" w:rsidRPr="001F61E3">
        <w:t>could include</w:t>
      </w:r>
      <w:r w:rsidR="001555EA" w:rsidRPr="001F61E3">
        <w:t xml:space="preserve"> </w:t>
      </w:r>
      <w:r w:rsidRPr="001F61E3">
        <w:t xml:space="preserve">means of verification </w:t>
      </w:r>
      <w:r w:rsidR="001555EA" w:rsidRPr="001F61E3">
        <w:t>such as</w:t>
      </w:r>
      <w:r w:rsidRPr="001F61E3">
        <w:t xml:space="preserve">: </w:t>
      </w:r>
    </w:p>
    <w:p w14:paraId="614644FD" w14:textId="77777777" w:rsidR="003A6712" w:rsidRPr="00FD0A28" w:rsidRDefault="003A6712" w:rsidP="00BD75D6">
      <w:pPr>
        <w:pStyle w:val="BulletedList"/>
        <w:numPr>
          <w:ilvl w:val="0"/>
          <w:numId w:val="23"/>
        </w:numPr>
        <w:rPr>
          <w:lang w:eastAsia="it-IT"/>
        </w:rPr>
      </w:pPr>
      <w:r w:rsidRPr="00FD0A28">
        <w:rPr>
          <w:lang w:eastAsia="it-IT"/>
        </w:rPr>
        <w:t xml:space="preserve">By trustees and persons holding an equivalent position in a similar legal arrangement, in any cases. </w:t>
      </w:r>
    </w:p>
    <w:p w14:paraId="5FD18D8D" w14:textId="77777777" w:rsidR="003A6712" w:rsidRPr="00FD0A28" w:rsidRDefault="003A6712" w:rsidP="00BD75D6">
      <w:pPr>
        <w:pStyle w:val="BulletedList"/>
        <w:numPr>
          <w:ilvl w:val="0"/>
          <w:numId w:val="23"/>
        </w:numPr>
        <w:rPr>
          <w:lang w:eastAsia="it-IT"/>
        </w:rPr>
      </w:pPr>
      <w:r w:rsidRPr="00FD0A28">
        <w:rPr>
          <w:lang w:eastAsia="it-IT"/>
        </w:rPr>
        <w:t>By authority(</w:t>
      </w:r>
      <w:proofErr w:type="spellStart"/>
      <w:r w:rsidRPr="00FD0A28">
        <w:rPr>
          <w:lang w:eastAsia="it-IT"/>
        </w:rPr>
        <w:t>ies</w:t>
      </w:r>
      <w:proofErr w:type="spellEnd"/>
      <w:r w:rsidRPr="00FD0A28">
        <w:rPr>
          <w:lang w:eastAsia="it-IT"/>
        </w:rPr>
        <w:t>) or body(</w:t>
      </w:r>
      <w:proofErr w:type="spellStart"/>
      <w:r w:rsidRPr="00FD0A28">
        <w:rPr>
          <w:lang w:eastAsia="it-IT"/>
        </w:rPr>
        <w:t>ies</w:t>
      </w:r>
      <w:proofErr w:type="spellEnd"/>
      <w:r w:rsidRPr="00FD0A28">
        <w:rPr>
          <w:lang w:eastAsia="it-IT"/>
        </w:rPr>
        <w:t xml:space="preserve">) responsible for recording information on the beneficial ownership of trusts or other similar legal arrangements in cases in which a registry is set up. </w:t>
      </w:r>
    </w:p>
    <w:p w14:paraId="05304CCB" w14:textId="77777777" w:rsidR="003A6712" w:rsidRPr="00FD0A28" w:rsidRDefault="003A6712" w:rsidP="00BD75D6">
      <w:pPr>
        <w:pStyle w:val="BulletedList"/>
        <w:numPr>
          <w:ilvl w:val="0"/>
          <w:numId w:val="23"/>
        </w:numPr>
        <w:rPr>
          <w:lang w:eastAsia="it-IT"/>
        </w:rPr>
      </w:pPr>
      <w:r w:rsidRPr="00FD0A28">
        <w:rPr>
          <w:lang w:eastAsia="it-IT"/>
        </w:rPr>
        <w:lastRenderedPageBreak/>
        <w:t>By other authority(</w:t>
      </w:r>
      <w:proofErr w:type="spellStart"/>
      <w:r w:rsidRPr="00FD0A28">
        <w:rPr>
          <w:lang w:eastAsia="it-IT"/>
        </w:rPr>
        <w:t>ies</w:t>
      </w:r>
      <w:proofErr w:type="spellEnd"/>
      <w:r w:rsidRPr="00FD0A28">
        <w:rPr>
          <w:lang w:eastAsia="it-IT"/>
        </w:rPr>
        <w:t xml:space="preserve">) that hold or obtain information on trust/similar legal arrangements and trustees/their equivalent. </w:t>
      </w:r>
    </w:p>
    <w:p w14:paraId="28FEB0CF" w14:textId="77777777" w:rsidR="003A6712" w:rsidRPr="00D127CA" w:rsidRDefault="003A6712" w:rsidP="00BD75D6">
      <w:pPr>
        <w:pStyle w:val="BulletedList"/>
        <w:numPr>
          <w:ilvl w:val="0"/>
          <w:numId w:val="23"/>
        </w:numPr>
        <w:rPr>
          <w:lang w:eastAsia="it-IT"/>
        </w:rPr>
      </w:pPr>
      <w:r w:rsidRPr="00FD0A28">
        <w:rPr>
          <w:lang w:eastAsia="it-IT"/>
        </w:rPr>
        <w:t>By agents and service providers, including trust and company service providers, investment advisors</w:t>
      </w:r>
      <w:r>
        <w:rPr>
          <w:lang w:eastAsia="it-IT"/>
        </w:rPr>
        <w:t>,</w:t>
      </w:r>
      <w:r w:rsidRPr="00FD0A28">
        <w:rPr>
          <w:lang w:eastAsia="it-IT"/>
        </w:rPr>
        <w:t xml:space="preserve"> lawyers, accountants or </w:t>
      </w:r>
      <w:r>
        <w:rPr>
          <w:lang w:eastAsia="it-IT"/>
        </w:rPr>
        <w:t>FIs</w:t>
      </w:r>
      <w:r w:rsidRPr="00FD0A28">
        <w:t xml:space="preserve"> </w:t>
      </w:r>
      <w:r w:rsidRPr="00FD0A28">
        <w:rPr>
          <w:lang w:eastAsia="it-IT"/>
        </w:rPr>
        <w:t>when they are creating, operating or managing a legal arrangement</w:t>
      </w:r>
      <w:r w:rsidRPr="00FD0A28">
        <w:t xml:space="preserve"> </w:t>
      </w:r>
      <w:r w:rsidRPr="00FD0A28">
        <w:rPr>
          <w:lang w:eastAsia="it-IT"/>
        </w:rPr>
        <w:t>as well as</w:t>
      </w:r>
      <w:r w:rsidRPr="00FD0A28">
        <w:t xml:space="preserve"> </w:t>
      </w:r>
      <w:r>
        <w:rPr>
          <w:lang w:eastAsia="it-IT"/>
        </w:rPr>
        <w:t>FIs</w:t>
      </w:r>
      <w:r w:rsidRPr="00FD0A28">
        <w:rPr>
          <w:lang w:eastAsia="it-IT"/>
        </w:rPr>
        <w:t xml:space="preserve"> in the context of CDD according to </w:t>
      </w:r>
      <w:r w:rsidR="00E945F4">
        <w:rPr>
          <w:lang w:eastAsia="it-IT"/>
        </w:rPr>
        <w:t>R.</w:t>
      </w:r>
      <w:r w:rsidRPr="00FD0A28">
        <w:rPr>
          <w:lang w:eastAsia="it-IT"/>
        </w:rPr>
        <w:t xml:space="preserve"> 10</w:t>
      </w:r>
      <w:r>
        <w:rPr>
          <w:lang w:eastAsia="it-IT"/>
        </w:rPr>
        <w:t xml:space="preserve"> and DNFBPs in the context of CDD according to </w:t>
      </w:r>
      <w:r w:rsidR="00E945F4">
        <w:rPr>
          <w:lang w:eastAsia="it-IT"/>
        </w:rPr>
        <w:t>R.</w:t>
      </w:r>
      <w:r>
        <w:rPr>
          <w:lang w:eastAsia="it-IT"/>
        </w:rPr>
        <w:t xml:space="preserve"> 22</w:t>
      </w:r>
      <w:r w:rsidRPr="00FD0A28">
        <w:rPr>
          <w:lang w:eastAsia="it-IT"/>
        </w:rPr>
        <w:t>.</w:t>
      </w:r>
    </w:p>
    <w:p w14:paraId="4DD1BD5B" w14:textId="77777777" w:rsidR="003A6712" w:rsidRPr="00FD0A28" w:rsidRDefault="003A6712" w:rsidP="00A00875">
      <w:pPr>
        <w:pStyle w:val="Para"/>
        <w:tabs>
          <w:tab w:val="clear" w:pos="680"/>
          <w:tab w:val="num" w:pos="1135"/>
        </w:tabs>
        <w:ind w:left="720"/>
        <w:rPr>
          <w:rFonts w:eastAsia="Cambria"/>
          <w:color w:val="000000"/>
          <w:lang w:eastAsia="it-IT"/>
        </w:rPr>
      </w:pPr>
      <w:r w:rsidRPr="00FD0A28">
        <w:rPr>
          <w:rFonts w:eastAsia="Cambria"/>
          <w:color w:val="000000"/>
          <w:lang w:eastAsia="it-IT"/>
        </w:rPr>
        <w:t>Whereas the means of verification may vary on the basis of risk, context</w:t>
      </w:r>
      <w:r w:rsidR="002672A3">
        <w:rPr>
          <w:rFonts w:eastAsia="Cambria"/>
          <w:color w:val="000000"/>
          <w:lang w:eastAsia="it-IT"/>
        </w:rPr>
        <w:t>,</w:t>
      </w:r>
      <w:r w:rsidRPr="00FD0A28">
        <w:rPr>
          <w:rFonts w:eastAsia="Cambria"/>
          <w:color w:val="000000"/>
          <w:lang w:eastAsia="it-IT"/>
        </w:rPr>
        <w:t xml:space="preserve"> and materiality, it is important that the criteria for </w:t>
      </w:r>
      <w:r>
        <w:rPr>
          <w:rFonts w:eastAsia="Cambria"/>
          <w:color w:val="000000"/>
          <w:lang w:eastAsia="it-IT"/>
        </w:rPr>
        <w:t>finding out and verifying the</w:t>
      </w:r>
      <w:r w:rsidRPr="00FD0A28">
        <w:rPr>
          <w:rFonts w:eastAsia="Cambria"/>
          <w:color w:val="000000"/>
          <w:lang w:eastAsia="it-IT"/>
        </w:rPr>
        <w:t xml:space="preserve"> </w:t>
      </w:r>
      <w:r>
        <w:rPr>
          <w:rFonts w:eastAsia="Cambria"/>
          <w:color w:val="000000"/>
          <w:lang w:eastAsia="it-IT"/>
        </w:rPr>
        <w:t xml:space="preserve">identity of </w:t>
      </w:r>
      <w:r w:rsidRPr="00FD0A28">
        <w:rPr>
          <w:rFonts w:eastAsia="Cambria"/>
          <w:color w:val="000000"/>
          <w:lang w:eastAsia="it-IT"/>
        </w:rPr>
        <w:t>a beneficial owner are</w:t>
      </w:r>
      <w:r w:rsidR="002672A3">
        <w:rPr>
          <w:rFonts w:eastAsia="Cambria"/>
          <w:color w:val="000000"/>
          <w:lang w:eastAsia="it-IT"/>
        </w:rPr>
        <w:t>,</w:t>
      </w:r>
      <w:r w:rsidRPr="00FD0A28">
        <w:rPr>
          <w:rFonts w:eastAsia="Cambria"/>
          <w:color w:val="000000"/>
          <w:lang w:eastAsia="it-IT"/>
        </w:rPr>
        <w:t xml:space="preserve"> in any case</w:t>
      </w:r>
      <w:r w:rsidR="002672A3">
        <w:rPr>
          <w:rFonts w:eastAsia="Cambria"/>
          <w:color w:val="000000"/>
          <w:lang w:eastAsia="it-IT"/>
        </w:rPr>
        <w:t>,</w:t>
      </w:r>
      <w:r w:rsidRPr="00FD0A28">
        <w:rPr>
          <w:rFonts w:eastAsia="Cambria"/>
          <w:color w:val="000000"/>
          <w:lang w:eastAsia="it-IT"/>
        </w:rPr>
        <w:t xml:space="preserve"> consistent with relevant applicable requirements (in particular those applied to CDD pursuant to </w:t>
      </w:r>
      <w:r w:rsidR="00E945F4">
        <w:rPr>
          <w:rFonts w:eastAsia="Cambria"/>
          <w:color w:val="000000"/>
          <w:lang w:eastAsia="it-IT"/>
        </w:rPr>
        <w:t>R.</w:t>
      </w:r>
      <w:r w:rsidRPr="00FD0A28">
        <w:rPr>
          <w:rFonts w:eastAsia="Cambria"/>
          <w:color w:val="000000"/>
          <w:lang w:eastAsia="it-IT"/>
        </w:rPr>
        <w:t xml:space="preserve"> 10 or 22). </w:t>
      </w:r>
      <w:r>
        <w:rPr>
          <w:rFonts w:eastAsia="Cambria"/>
          <w:color w:val="000000"/>
          <w:lang w:eastAsia="it-IT"/>
        </w:rPr>
        <w:t>V</w:t>
      </w:r>
      <w:r w:rsidRPr="00FD0A28">
        <w:rPr>
          <w:rFonts w:eastAsia="Cambria"/>
          <w:color w:val="000000"/>
          <w:lang w:eastAsia="it-IT"/>
        </w:rPr>
        <w:t xml:space="preserve">erification </w:t>
      </w:r>
      <w:r w:rsidR="00626D3E">
        <w:rPr>
          <w:rFonts w:eastAsia="Cambria"/>
          <w:color w:val="000000"/>
          <w:lang w:eastAsia="it-IT"/>
        </w:rPr>
        <w:t>should be of the following two aspects</w:t>
      </w:r>
      <w:r w:rsidRPr="00FD0A28">
        <w:rPr>
          <w:rFonts w:eastAsia="Cambria"/>
          <w:color w:val="000000"/>
          <w:lang w:eastAsia="it-IT"/>
        </w:rPr>
        <w:t xml:space="preserve">:  </w:t>
      </w:r>
    </w:p>
    <w:p w14:paraId="025A22D4" w14:textId="77777777" w:rsidR="003A6712" w:rsidRPr="00FD0A28" w:rsidRDefault="003A6712" w:rsidP="00885103">
      <w:pPr>
        <w:widowControl/>
        <w:numPr>
          <w:ilvl w:val="1"/>
          <w:numId w:val="9"/>
        </w:numPr>
        <w:spacing w:after="147" w:line="236" w:lineRule="auto"/>
        <w:ind w:right="680"/>
        <w:rPr>
          <w:rFonts w:eastAsia="Cambria"/>
          <w:color w:val="000000"/>
          <w:lang w:eastAsia="it-IT"/>
        </w:rPr>
      </w:pPr>
      <w:r w:rsidRPr="00FD0A28">
        <w:rPr>
          <w:rFonts w:eastAsia="Cambria"/>
          <w:b/>
          <w:color w:val="000000"/>
          <w:lang w:eastAsia="it-IT"/>
        </w:rPr>
        <w:t>Verification of identity</w:t>
      </w:r>
      <w:r w:rsidRPr="00FD0A28">
        <w:rPr>
          <w:rFonts w:eastAsia="Cambria"/>
          <w:color w:val="000000"/>
          <w:lang w:eastAsia="it-IT"/>
        </w:rPr>
        <w:t xml:space="preserve">: Appropriate steps should be taken to verify the identity of any natural person(s) recorded as a beneficial owner.  </w:t>
      </w:r>
    </w:p>
    <w:p w14:paraId="56F6DF87" w14:textId="77777777" w:rsidR="003A6712" w:rsidRPr="00FD0A28" w:rsidRDefault="003A6712" w:rsidP="00885103">
      <w:pPr>
        <w:widowControl/>
        <w:numPr>
          <w:ilvl w:val="1"/>
          <w:numId w:val="9"/>
        </w:numPr>
        <w:spacing w:after="147" w:line="236" w:lineRule="auto"/>
        <w:ind w:right="680"/>
        <w:rPr>
          <w:rFonts w:eastAsia="Cambria"/>
          <w:color w:val="000000"/>
          <w:lang w:eastAsia="it-IT"/>
        </w:rPr>
      </w:pPr>
      <w:r w:rsidRPr="00FD0A28">
        <w:rPr>
          <w:rFonts w:eastAsia="Cambria"/>
          <w:b/>
          <w:color w:val="000000"/>
          <w:lang w:eastAsia="it-IT"/>
        </w:rPr>
        <w:t>Verification of status</w:t>
      </w:r>
      <w:r w:rsidRPr="009F77ED">
        <w:rPr>
          <w:rFonts w:eastAsia="Cambria"/>
          <w:color w:val="000000"/>
          <w:lang w:eastAsia="it-IT"/>
        </w:rPr>
        <w:t>:</w:t>
      </w:r>
      <w:r w:rsidRPr="00FD0A28">
        <w:rPr>
          <w:rFonts w:eastAsia="Cambria"/>
          <w:color w:val="000000"/>
          <w:lang w:eastAsia="it-IT"/>
        </w:rPr>
        <w:t xml:space="preserve"> Appropriate steps should be taken to verify the basis of identification of a person as a beneficial owner.  </w:t>
      </w:r>
    </w:p>
    <w:p w14:paraId="57EA26F2" w14:textId="77777777" w:rsidR="003A6712" w:rsidRPr="00FD0A28" w:rsidRDefault="00B33F65" w:rsidP="00A00875">
      <w:pPr>
        <w:pStyle w:val="Para"/>
        <w:tabs>
          <w:tab w:val="clear" w:pos="680"/>
          <w:tab w:val="num" w:pos="1135"/>
        </w:tabs>
        <w:ind w:left="720"/>
        <w:rPr>
          <w:rFonts w:eastAsia="Cambria"/>
          <w:color w:val="000000"/>
          <w:lang w:eastAsia="it-IT"/>
        </w:rPr>
      </w:pPr>
      <w:r>
        <w:rPr>
          <w:rFonts w:eastAsia="Cambria"/>
          <w:color w:val="000000"/>
          <w:lang w:eastAsia="it-IT"/>
        </w:rPr>
        <w:t>In cases where a registry approach is selected, th</w:t>
      </w:r>
      <w:r w:rsidR="003A6712" w:rsidRPr="00FD0A28">
        <w:rPr>
          <w:rFonts w:eastAsia="Cambria"/>
          <w:color w:val="000000"/>
          <w:lang w:eastAsia="it-IT"/>
        </w:rPr>
        <w:t xml:space="preserve">e goal is to reduce </w:t>
      </w:r>
      <w:r w:rsidR="00533E92">
        <w:rPr>
          <w:rFonts w:eastAsia="Cambria"/>
          <w:color w:val="000000"/>
          <w:lang w:eastAsia="it-IT"/>
        </w:rPr>
        <w:t xml:space="preserve">the </w:t>
      </w:r>
      <w:r w:rsidR="003A6712" w:rsidRPr="00FD0A28">
        <w:rPr>
          <w:rFonts w:eastAsia="Cambria"/>
          <w:color w:val="000000"/>
          <w:lang w:eastAsia="it-IT"/>
        </w:rPr>
        <w:t xml:space="preserve">risks of inaccurate information and allow enforcement of beneficial ownership </w:t>
      </w:r>
      <w:r w:rsidR="003A6712">
        <w:rPr>
          <w:rFonts w:eastAsia="Cambria"/>
          <w:color w:val="000000"/>
          <w:lang w:eastAsia="it-IT"/>
        </w:rPr>
        <w:t>transparency</w:t>
      </w:r>
      <w:r w:rsidR="003A6712" w:rsidRPr="00FD0A28">
        <w:rPr>
          <w:rFonts w:eastAsia="Cambria"/>
          <w:color w:val="000000"/>
          <w:lang w:eastAsia="it-IT"/>
        </w:rPr>
        <w:t xml:space="preserve"> rules. However, this does not imply a zero-failure approach. It is a process aimed at increasing confidence that information is reliable, and that obvious errors, falsehoods or inconsistencies are spotted and corrected </w:t>
      </w:r>
      <w:r w:rsidR="00E118B0">
        <w:rPr>
          <w:rFonts w:eastAsia="Cambria"/>
          <w:color w:val="000000"/>
          <w:lang w:eastAsia="it-IT"/>
        </w:rPr>
        <w:t>systematically</w:t>
      </w:r>
      <w:r w:rsidR="003A6712" w:rsidRPr="00FD0A28">
        <w:rPr>
          <w:rFonts w:eastAsia="Cambria"/>
          <w:color w:val="000000"/>
          <w:lang w:eastAsia="it-IT"/>
        </w:rPr>
        <w:t xml:space="preserve">. Countries may consider automated checks where possible to minimise the burden of verification and increase </w:t>
      </w:r>
      <w:r w:rsidR="00533E92">
        <w:rPr>
          <w:rFonts w:eastAsia="Cambria"/>
          <w:color w:val="000000"/>
          <w:lang w:eastAsia="it-IT"/>
        </w:rPr>
        <w:t xml:space="preserve">the </w:t>
      </w:r>
      <w:r w:rsidR="003A6712" w:rsidRPr="00FD0A28">
        <w:rPr>
          <w:rFonts w:eastAsia="Cambria"/>
          <w:color w:val="000000"/>
          <w:lang w:eastAsia="it-IT"/>
        </w:rPr>
        <w:t xml:space="preserve">timeliness of processing. </w:t>
      </w:r>
    </w:p>
    <w:p w14:paraId="4CE4E7C8" w14:textId="77777777" w:rsidR="003A6712" w:rsidRDefault="003A6712" w:rsidP="00A00875">
      <w:pPr>
        <w:pStyle w:val="Para"/>
        <w:tabs>
          <w:tab w:val="clear" w:pos="680"/>
          <w:tab w:val="num" w:pos="1135"/>
        </w:tabs>
        <w:ind w:left="720"/>
        <w:rPr>
          <w:rFonts w:eastAsia="Cambria"/>
          <w:color w:val="000000"/>
          <w:lang w:eastAsia="it-IT"/>
        </w:rPr>
      </w:pPr>
      <w:r w:rsidRPr="00FD0A28">
        <w:rPr>
          <w:rFonts w:eastAsia="Cambria"/>
          <w:color w:val="000000"/>
          <w:lang w:eastAsia="it-IT"/>
        </w:rPr>
        <w:t xml:space="preserve">Countries </w:t>
      </w:r>
      <w:r>
        <w:rPr>
          <w:rFonts w:eastAsia="Cambria"/>
          <w:color w:val="000000"/>
          <w:lang w:eastAsia="it-IT"/>
        </w:rPr>
        <w:t>may</w:t>
      </w:r>
      <w:r w:rsidRPr="00FD0A28">
        <w:rPr>
          <w:rFonts w:eastAsia="Cambria"/>
          <w:color w:val="000000"/>
          <w:lang w:eastAsia="it-IT"/>
        </w:rPr>
        <w:t xml:space="preserve"> adopt a risk-based approach to verification. In cases of higher risk (</w:t>
      </w:r>
      <w:r w:rsidR="006B58DF" w:rsidRPr="00FD0A28">
        <w:rPr>
          <w:rFonts w:eastAsia="Cambria"/>
          <w:color w:val="000000"/>
          <w:lang w:eastAsia="it-IT"/>
        </w:rPr>
        <w:t>e.g.,</w:t>
      </w:r>
      <w:r w:rsidRPr="00FD0A28">
        <w:rPr>
          <w:rFonts w:eastAsia="Cambria"/>
          <w:color w:val="000000"/>
          <w:lang w:eastAsia="it-IT"/>
        </w:rPr>
        <w:t xml:space="preserve"> </w:t>
      </w:r>
      <w:r>
        <w:rPr>
          <w:rFonts w:eastAsia="Cambria"/>
          <w:color w:val="000000"/>
          <w:lang w:eastAsia="it-IT"/>
        </w:rPr>
        <w:t xml:space="preserve">legal </w:t>
      </w:r>
      <w:r w:rsidRPr="00FD0A28">
        <w:rPr>
          <w:rFonts w:eastAsia="Cambria"/>
          <w:color w:val="000000"/>
          <w:lang w:eastAsia="it-IT"/>
        </w:rPr>
        <w:t xml:space="preserve">arrangements with complex structures across multiple </w:t>
      </w:r>
      <w:r>
        <w:rPr>
          <w:rFonts w:eastAsia="Cambria"/>
          <w:color w:val="000000"/>
          <w:lang w:eastAsia="it-IT"/>
        </w:rPr>
        <w:t>countries</w:t>
      </w:r>
      <w:r w:rsidRPr="00FD0A28">
        <w:rPr>
          <w:rFonts w:eastAsia="Cambria"/>
          <w:color w:val="000000"/>
          <w:lang w:eastAsia="it-IT"/>
        </w:rPr>
        <w:t>, trusts</w:t>
      </w:r>
      <w:r>
        <w:rPr>
          <w:rFonts w:eastAsia="Cambria"/>
          <w:color w:val="000000"/>
          <w:lang w:eastAsia="it-IT"/>
        </w:rPr>
        <w:t xml:space="preserve"> and legal </w:t>
      </w:r>
      <w:r w:rsidRPr="00FD0A28">
        <w:rPr>
          <w:rFonts w:eastAsia="Cambria"/>
          <w:color w:val="000000"/>
          <w:lang w:eastAsia="it-IT"/>
        </w:rPr>
        <w:t>arrangements identified as high-risk in a risk assessment, trusts/arrangements with a history of reporting inaccurate beneficial ownership information</w:t>
      </w:r>
      <w:r w:rsidR="00E118B0">
        <w:rPr>
          <w:rFonts w:eastAsia="Cambria"/>
          <w:color w:val="000000"/>
          <w:lang w:eastAsia="it-IT"/>
        </w:rPr>
        <w:t>,</w:t>
      </w:r>
      <w:r w:rsidRPr="00FD0A28">
        <w:rPr>
          <w:rFonts w:eastAsia="Cambria"/>
          <w:color w:val="000000"/>
          <w:lang w:eastAsia="it-IT"/>
        </w:rPr>
        <w:t xml:space="preserve"> or where sufficient documentation may not be obtained), the extent and/or frequency of verification measures should be enhanced. </w:t>
      </w:r>
    </w:p>
    <w:p w14:paraId="049CC3A5" w14:textId="77777777" w:rsidR="002405F0" w:rsidRPr="002405F0" w:rsidRDefault="002405F0" w:rsidP="002405F0">
      <w:pPr>
        <w:pStyle w:val="Para"/>
        <w:rPr>
          <w:rFonts w:eastAsia="Cambria"/>
          <w:color w:val="000000"/>
          <w:lang w:eastAsia="it-IT"/>
        </w:rPr>
      </w:pPr>
      <w:r w:rsidRPr="002405F0">
        <w:rPr>
          <w:rFonts w:eastAsia="Cambria"/>
          <w:color w:val="000000"/>
          <w:lang w:eastAsia="it-IT"/>
        </w:rPr>
        <w:t>Information might be verified:</w:t>
      </w:r>
    </w:p>
    <w:p w14:paraId="0D0A3835" w14:textId="77777777" w:rsidR="002405F0" w:rsidRPr="002405F0" w:rsidRDefault="002405F0" w:rsidP="00240A30">
      <w:pPr>
        <w:pStyle w:val="BulletedList"/>
        <w:rPr>
          <w:lang w:eastAsia="it-IT"/>
        </w:rPr>
      </w:pPr>
      <w:r w:rsidRPr="002405F0">
        <w:rPr>
          <w:lang w:eastAsia="it-IT"/>
        </w:rPr>
        <w:t>when a trust is first established</w:t>
      </w:r>
      <w:r>
        <w:rPr>
          <w:lang w:eastAsia="it-IT"/>
        </w:rPr>
        <w:t>.</w:t>
      </w:r>
    </w:p>
    <w:p w14:paraId="5C1B039F" w14:textId="77777777" w:rsidR="002405F0" w:rsidRPr="002405F0" w:rsidRDefault="002405F0" w:rsidP="00240A30">
      <w:pPr>
        <w:pStyle w:val="BulletedList"/>
        <w:rPr>
          <w:lang w:eastAsia="it-IT"/>
        </w:rPr>
      </w:pPr>
      <w:r w:rsidRPr="002405F0">
        <w:rPr>
          <w:lang w:eastAsia="it-IT"/>
        </w:rPr>
        <w:t>when a trust is registered</w:t>
      </w:r>
      <w:r>
        <w:rPr>
          <w:lang w:eastAsia="it-IT"/>
        </w:rPr>
        <w:t>.</w:t>
      </w:r>
    </w:p>
    <w:p w14:paraId="1366D7B6" w14:textId="77777777" w:rsidR="002405F0" w:rsidRPr="002405F0" w:rsidRDefault="002405F0" w:rsidP="00240A30">
      <w:pPr>
        <w:pStyle w:val="BulletedList"/>
        <w:rPr>
          <w:lang w:eastAsia="it-IT"/>
        </w:rPr>
      </w:pPr>
      <w:r w:rsidRPr="002405F0">
        <w:rPr>
          <w:lang w:eastAsia="it-IT"/>
        </w:rPr>
        <w:t>when a change happens (</w:t>
      </w:r>
      <w:r w:rsidR="00C14031" w:rsidRPr="002405F0">
        <w:rPr>
          <w:lang w:eastAsia="it-IT"/>
        </w:rPr>
        <w:t>e.g.,</w:t>
      </w:r>
      <w:r w:rsidRPr="002405F0">
        <w:rPr>
          <w:lang w:eastAsia="it-IT"/>
        </w:rPr>
        <w:t xml:space="preserve"> a change in trustee)</w:t>
      </w:r>
      <w:r>
        <w:rPr>
          <w:lang w:eastAsia="it-IT"/>
        </w:rPr>
        <w:t>.</w:t>
      </w:r>
    </w:p>
    <w:p w14:paraId="6B6E18A3" w14:textId="77777777" w:rsidR="00626D3E" w:rsidRPr="002405F0" w:rsidRDefault="00626D3E" w:rsidP="00626D3E">
      <w:pPr>
        <w:pStyle w:val="BulletedList"/>
        <w:rPr>
          <w:lang w:eastAsia="it-IT"/>
        </w:rPr>
      </w:pPr>
      <w:r w:rsidRPr="002405F0">
        <w:rPr>
          <w:lang w:eastAsia="it-IT"/>
        </w:rPr>
        <w:t xml:space="preserve">when the identity of an entity </w:t>
      </w:r>
      <w:r>
        <w:rPr>
          <w:lang w:eastAsia="it-IT"/>
        </w:rPr>
        <w:t xml:space="preserve">becomes </w:t>
      </w:r>
      <w:r w:rsidRPr="002405F0">
        <w:rPr>
          <w:lang w:eastAsia="it-IT"/>
        </w:rPr>
        <w:t>apparent (e.g., when an object in a class becomes entitled to an amount or where an ultimate controller is identified)</w:t>
      </w:r>
      <w:r>
        <w:rPr>
          <w:lang w:eastAsia="it-IT"/>
        </w:rPr>
        <w:t>.</w:t>
      </w:r>
    </w:p>
    <w:p w14:paraId="79B415E7" w14:textId="77777777" w:rsidR="002405F0" w:rsidRPr="002405F0" w:rsidRDefault="002405F0" w:rsidP="00240A30">
      <w:pPr>
        <w:pStyle w:val="BulletedList"/>
        <w:rPr>
          <w:lang w:eastAsia="it-IT"/>
        </w:rPr>
      </w:pPr>
      <w:r w:rsidRPr="002405F0">
        <w:rPr>
          <w:lang w:eastAsia="it-IT"/>
        </w:rPr>
        <w:t xml:space="preserve">when a trust </w:t>
      </w:r>
      <w:r w:rsidR="006B58DF" w:rsidRPr="002405F0">
        <w:rPr>
          <w:lang w:eastAsia="it-IT"/>
        </w:rPr>
        <w:t>enters</w:t>
      </w:r>
      <w:r w:rsidRPr="002405F0">
        <w:rPr>
          <w:lang w:eastAsia="it-IT"/>
        </w:rPr>
        <w:t xml:space="preserve"> an arrangement with a financial institution or government body (such as opening a bank account, purchasing real property or lodging a tax return)</w:t>
      </w:r>
      <w:r w:rsidR="00D1118E">
        <w:rPr>
          <w:lang w:eastAsia="it-IT"/>
        </w:rPr>
        <w:t xml:space="preserve">. </w:t>
      </w:r>
    </w:p>
    <w:p w14:paraId="0CB94651" w14:textId="77777777" w:rsidR="002405F0" w:rsidRPr="002405F0" w:rsidRDefault="002405F0" w:rsidP="00240A30">
      <w:pPr>
        <w:pStyle w:val="BulletedList"/>
        <w:rPr>
          <w:lang w:eastAsia="it-IT"/>
        </w:rPr>
      </w:pPr>
      <w:r w:rsidRPr="002405F0">
        <w:rPr>
          <w:lang w:eastAsia="it-IT"/>
        </w:rPr>
        <w:t xml:space="preserve">when an automated exchange of information with reliable national systems occurs the frequency of which will depend on a </w:t>
      </w:r>
      <w:r w:rsidR="006B58DF" w:rsidRPr="002405F0">
        <w:rPr>
          <w:lang w:eastAsia="it-IT"/>
        </w:rPr>
        <w:t>risk-based</w:t>
      </w:r>
      <w:r w:rsidRPr="002405F0">
        <w:rPr>
          <w:lang w:eastAsia="it-IT"/>
        </w:rPr>
        <w:t xml:space="preserve"> approach.</w:t>
      </w:r>
    </w:p>
    <w:p w14:paraId="3ACB4D98" w14:textId="77777777" w:rsidR="002405F0" w:rsidRPr="002405F0" w:rsidRDefault="002405F0" w:rsidP="002405F0">
      <w:pPr>
        <w:pStyle w:val="Para"/>
        <w:rPr>
          <w:rFonts w:eastAsia="Cambria"/>
          <w:color w:val="000000"/>
          <w:lang w:eastAsia="it-IT"/>
        </w:rPr>
      </w:pPr>
      <w:r w:rsidRPr="002405F0">
        <w:rPr>
          <w:rFonts w:eastAsia="Cambria"/>
          <w:color w:val="000000"/>
          <w:lang w:eastAsia="it-IT"/>
        </w:rPr>
        <w:t xml:space="preserve">In the case of an ongoing </w:t>
      </w:r>
      <w:r w:rsidR="006B58DF" w:rsidRPr="002405F0">
        <w:rPr>
          <w:rFonts w:eastAsia="Cambria"/>
          <w:color w:val="000000"/>
          <w:lang w:eastAsia="it-IT"/>
        </w:rPr>
        <w:t>relationship,</w:t>
      </w:r>
      <w:r w:rsidRPr="002405F0">
        <w:rPr>
          <w:rFonts w:eastAsia="Cambria"/>
          <w:color w:val="000000"/>
          <w:lang w:eastAsia="it-IT"/>
        </w:rPr>
        <w:t xml:space="preserve"> it may be appropriate to check that information continues to be accurate.  The frequency of such checks will depend on a risk assessment including factors such as:</w:t>
      </w:r>
    </w:p>
    <w:p w14:paraId="246C9497" w14:textId="77777777" w:rsidR="002405F0" w:rsidRPr="002405F0" w:rsidRDefault="002405F0" w:rsidP="00240A30">
      <w:pPr>
        <w:pStyle w:val="BulletedList"/>
        <w:rPr>
          <w:lang w:eastAsia="it-IT"/>
        </w:rPr>
      </w:pPr>
      <w:r w:rsidRPr="002405F0">
        <w:rPr>
          <w:lang w:eastAsia="it-IT"/>
        </w:rPr>
        <w:t>the frequency and value of transactions or dealings</w:t>
      </w:r>
      <w:r>
        <w:rPr>
          <w:lang w:eastAsia="it-IT"/>
        </w:rPr>
        <w:t>.</w:t>
      </w:r>
    </w:p>
    <w:p w14:paraId="748D2C8F" w14:textId="77777777" w:rsidR="002405F0" w:rsidRPr="002405F0" w:rsidRDefault="002405F0" w:rsidP="00240A30">
      <w:pPr>
        <w:pStyle w:val="BulletedList"/>
        <w:rPr>
          <w:lang w:eastAsia="it-IT"/>
        </w:rPr>
      </w:pPr>
      <w:r w:rsidRPr="002405F0">
        <w:rPr>
          <w:lang w:eastAsia="it-IT"/>
        </w:rPr>
        <w:t>the significance of the information in terms of addressing ML/TF risks</w:t>
      </w:r>
      <w:r>
        <w:rPr>
          <w:lang w:eastAsia="it-IT"/>
        </w:rPr>
        <w:t>.</w:t>
      </w:r>
    </w:p>
    <w:p w14:paraId="66F363A1" w14:textId="77777777" w:rsidR="002405F0" w:rsidRPr="002405F0" w:rsidRDefault="002405F0" w:rsidP="00240A30">
      <w:pPr>
        <w:pStyle w:val="BulletedList"/>
        <w:rPr>
          <w:lang w:eastAsia="it-IT"/>
        </w:rPr>
      </w:pPr>
      <w:r w:rsidRPr="002405F0">
        <w:rPr>
          <w:lang w:eastAsia="it-IT"/>
        </w:rPr>
        <w:lastRenderedPageBreak/>
        <w:t>the likelihood of information changing</w:t>
      </w:r>
      <w:r>
        <w:rPr>
          <w:lang w:eastAsia="it-IT"/>
        </w:rPr>
        <w:t>.</w:t>
      </w:r>
    </w:p>
    <w:p w14:paraId="22421718" w14:textId="77777777" w:rsidR="002405F0" w:rsidRPr="002405F0" w:rsidRDefault="002405F0" w:rsidP="00240A30">
      <w:pPr>
        <w:pStyle w:val="BulletedList"/>
        <w:rPr>
          <w:lang w:eastAsia="it-IT"/>
        </w:rPr>
      </w:pPr>
      <w:r w:rsidRPr="002405F0">
        <w:rPr>
          <w:lang w:eastAsia="it-IT"/>
        </w:rPr>
        <w:t>other relevant legal obligations and checks</w:t>
      </w:r>
      <w:r>
        <w:rPr>
          <w:lang w:eastAsia="it-IT"/>
        </w:rPr>
        <w:t>.</w:t>
      </w:r>
    </w:p>
    <w:p w14:paraId="5C7CB401" w14:textId="77777777" w:rsidR="002405F0" w:rsidRPr="002405F0" w:rsidRDefault="002405F0" w:rsidP="00240A30">
      <w:pPr>
        <w:pStyle w:val="BulletedList"/>
        <w:rPr>
          <w:lang w:eastAsia="it-IT"/>
        </w:rPr>
      </w:pPr>
      <w:r w:rsidRPr="002405F0">
        <w:rPr>
          <w:lang w:eastAsia="it-IT"/>
        </w:rPr>
        <w:t>the ease of verifying the information</w:t>
      </w:r>
      <w:r>
        <w:rPr>
          <w:lang w:eastAsia="it-IT"/>
        </w:rPr>
        <w:t>.</w:t>
      </w:r>
    </w:p>
    <w:p w14:paraId="371284B9" w14:textId="77777777" w:rsidR="002405F0" w:rsidRPr="002405F0" w:rsidRDefault="002405F0" w:rsidP="00240A30">
      <w:pPr>
        <w:pStyle w:val="BulletedList"/>
        <w:rPr>
          <w:lang w:eastAsia="it-IT"/>
        </w:rPr>
      </w:pPr>
      <w:r w:rsidRPr="002405F0">
        <w:rPr>
          <w:lang w:eastAsia="it-IT"/>
        </w:rPr>
        <w:t>the source and value of the assets settled in trust</w:t>
      </w:r>
      <w:r>
        <w:rPr>
          <w:lang w:eastAsia="it-IT"/>
        </w:rPr>
        <w:t>.</w:t>
      </w:r>
      <w:r w:rsidRPr="002405F0">
        <w:rPr>
          <w:lang w:eastAsia="it-IT"/>
        </w:rPr>
        <w:t xml:space="preserve"> </w:t>
      </w:r>
    </w:p>
    <w:p w14:paraId="5C7A786F" w14:textId="77777777" w:rsidR="002405F0" w:rsidRPr="002405F0" w:rsidRDefault="002405F0" w:rsidP="00240A30">
      <w:pPr>
        <w:pStyle w:val="BulletedList"/>
        <w:rPr>
          <w:lang w:eastAsia="it-IT"/>
        </w:rPr>
      </w:pPr>
      <w:r w:rsidRPr="002405F0">
        <w:rPr>
          <w:lang w:eastAsia="it-IT"/>
        </w:rPr>
        <w:t>the country of origin, country of residence of the settlor, protector and other parties including the object of a powe</w:t>
      </w:r>
      <w:r>
        <w:rPr>
          <w:lang w:eastAsia="it-IT"/>
        </w:rPr>
        <w:t>r.</w:t>
      </w:r>
      <w:r w:rsidRPr="002405F0">
        <w:rPr>
          <w:lang w:eastAsia="it-IT"/>
        </w:rPr>
        <w:t xml:space="preserve"> </w:t>
      </w:r>
    </w:p>
    <w:p w14:paraId="616B223F" w14:textId="77777777" w:rsidR="002405F0" w:rsidRPr="002405F0" w:rsidRDefault="002405F0" w:rsidP="00240A30">
      <w:pPr>
        <w:pStyle w:val="BulletedList"/>
        <w:rPr>
          <w:lang w:eastAsia="it-IT"/>
        </w:rPr>
      </w:pPr>
      <w:r w:rsidRPr="002405F0">
        <w:rPr>
          <w:lang w:eastAsia="it-IT"/>
        </w:rPr>
        <w:t>the status of the object of a power or any other party (</w:t>
      </w:r>
      <w:r w:rsidR="006B58DF" w:rsidRPr="002405F0">
        <w:rPr>
          <w:lang w:eastAsia="it-IT"/>
        </w:rPr>
        <w:t>e.g.,</w:t>
      </w:r>
      <w:r w:rsidRPr="002405F0">
        <w:rPr>
          <w:lang w:eastAsia="it-IT"/>
        </w:rPr>
        <w:t xml:space="preserve"> whether he/she is a PEP or other </w:t>
      </w:r>
      <w:r w:rsidR="006B58DF" w:rsidRPr="002405F0">
        <w:rPr>
          <w:lang w:eastAsia="it-IT"/>
        </w:rPr>
        <w:t>high-risk</w:t>
      </w:r>
      <w:r w:rsidRPr="002405F0">
        <w:rPr>
          <w:lang w:eastAsia="it-IT"/>
        </w:rPr>
        <w:t xml:space="preserve"> customer)</w:t>
      </w:r>
      <w:r>
        <w:rPr>
          <w:lang w:eastAsia="it-IT"/>
        </w:rPr>
        <w:t>.</w:t>
      </w:r>
    </w:p>
    <w:p w14:paraId="660DC89D" w14:textId="77777777" w:rsidR="002405F0" w:rsidRPr="002405F0" w:rsidRDefault="002405F0" w:rsidP="00240A30">
      <w:pPr>
        <w:pStyle w:val="BulletedList"/>
        <w:rPr>
          <w:lang w:eastAsia="it-IT"/>
        </w:rPr>
      </w:pPr>
      <w:r w:rsidRPr="002405F0">
        <w:rPr>
          <w:lang w:eastAsia="it-IT"/>
        </w:rPr>
        <w:t>complexity of the structure</w:t>
      </w:r>
      <w:r w:rsidR="00D1118E">
        <w:rPr>
          <w:lang w:eastAsia="it-IT"/>
        </w:rPr>
        <w:t>.</w:t>
      </w:r>
      <w:r w:rsidRPr="002405F0">
        <w:rPr>
          <w:lang w:eastAsia="it-IT"/>
        </w:rPr>
        <w:t xml:space="preserve"> </w:t>
      </w:r>
    </w:p>
    <w:p w14:paraId="39D6274C" w14:textId="77777777" w:rsidR="000C7E8E" w:rsidRDefault="002405F0" w:rsidP="000C7E8E">
      <w:pPr>
        <w:pStyle w:val="BulletedList"/>
        <w:rPr>
          <w:lang w:eastAsia="it-IT"/>
        </w:rPr>
      </w:pPr>
      <w:r w:rsidRPr="002405F0">
        <w:rPr>
          <w:lang w:eastAsia="it-IT"/>
        </w:rPr>
        <w:t>the purpose of the settling of property in trust.</w:t>
      </w:r>
      <w:r w:rsidR="000C7E8E">
        <w:rPr>
          <w:lang w:eastAsia="it-IT"/>
        </w:rPr>
        <w:t xml:space="preserve"> </w:t>
      </w:r>
    </w:p>
    <w:p w14:paraId="67AE568A" w14:textId="77777777" w:rsidR="00C81631" w:rsidRDefault="003A6712" w:rsidP="00885103">
      <w:pPr>
        <w:pStyle w:val="Para"/>
        <w:numPr>
          <w:ilvl w:val="0"/>
          <w:numId w:val="17"/>
        </w:numPr>
        <w:tabs>
          <w:tab w:val="num" w:pos="1135"/>
        </w:tabs>
        <w:ind w:left="720"/>
        <w:rPr>
          <w:lang w:eastAsia="it-IT"/>
        </w:rPr>
      </w:pPr>
      <w:r w:rsidRPr="001F61E3">
        <w:rPr>
          <w:rFonts w:eastAsia="Cambria"/>
          <w:color w:val="000000"/>
          <w:lang w:eastAsia="it-IT"/>
        </w:rPr>
        <w:t xml:space="preserve">Enhanced verification mechanisms can also be used to detect </w:t>
      </w:r>
      <w:r w:rsidR="00651C5F" w:rsidRPr="001F61E3">
        <w:rPr>
          <w:rFonts w:eastAsia="Cambria"/>
          <w:color w:val="000000"/>
          <w:lang w:eastAsia="it-IT"/>
        </w:rPr>
        <w:t xml:space="preserve">inaccuracies in </w:t>
      </w:r>
      <w:r w:rsidRPr="001F61E3">
        <w:rPr>
          <w:rFonts w:eastAsia="Cambria"/>
          <w:color w:val="000000"/>
          <w:lang w:eastAsia="it-IT"/>
        </w:rPr>
        <w:t xml:space="preserve">beneficial ownership information and/or deliberate concealment, such as undisclosed nominee relationships. Such checks of a more investigative nature may be conducted by law enforcement authorities. In countries which require engagement of a professional intermediary for the setting up of trusts or similar legal arrangements, regulated professional intermediaries </w:t>
      </w:r>
      <w:r w:rsidR="004E5C97">
        <w:rPr>
          <w:rFonts w:eastAsia="Cambria"/>
          <w:color w:val="000000"/>
          <w:lang w:eastAsia="it-IT"/>
        </w:rPr>
        <w:t>could</w:t>
      </w:r>
      <w:r w:rsidR="004E5C97" w:rsidRPr="001F61E3">
        <w:rPr>
          <w:rFonts w:eastAsia="Cambria"/>
          <w:color w:val="000000"/>
          <w:lang w:eastAsia="it-IT"/>
        </w:rPr>
        <w:t xml:space="preserve"> </w:t>
      </w:r>
      <w:r w:rsidRPr="001F61E3">
        <w:rPr>
          <w:rFonts w:eastAsia="Cambria"/>
          <w:color w:val="000000"/>
          <w:lang w:eastAsia="it-IT"/>
        </w:rPr>
        <w:t xml:space="preserve">be required to perform such enhanced checks. </w:t>
      </w:r>
      <w:r w:rsidR="00C81631">
        <w:rPr>
          <w:lang w:eastAsia="it-IT"/>
        </w:rPr>
        <w:t>Examples of mechanisms to identify inaccuracies are provided in Box 4.1</w:t>
      </w:r>
    </w:p>
    <w:tbl>
      <w:tblPr>
        <w:tblStyle w:val="TableGrid"/>
        <w:tblpPr w:leftFromText="180" w:rightFromText="180" w:vertAnchor="text" w:horzAnchor="page" w:tblpX="1726" w:tblpY="39"/>
        <w:tblW w:w="9309" w:type="dxa"/>
        <w:tblBorders>
          <w:top w:val="single" w:sz="18" w:space="0" w:color="4E81BD" w:themeColor="accent1"/>
          <w:left w:val="single" w:sz="18" w:space="0" w:color="4E81BD" w:themeColor="accent1"/>
          <w:bottom w:val="single" w:sz="18" w:space="0" w:color="4E81BD" w:themeColor="accent1"/>
          <w:right w:val="single" w:sz="18" w:space="0" w:color="4E81BD" w:themeColor="accent1"/>
          <w:insideH w:val="single" w:sz="18" w:space="0" w:color="4E81BD" w:themeColor="accent1"/>
          <w:insideV w:val="single" w:sz="18" w:space="0" w:color="4E81BD" w:themeColor="accent1"/>
        </w:tblBorders>
        <w:shd w:val="clear" w:color="auto" w:fill="FFFFFF" w:themeFill="background1"/>
        <w:tblCellMar>
          <w:left w:w="142" w:type="dxa"/>
          <w:bottom w:w="142" w:type="dxa"/>
          <w:right w:w="142" w:type="dxa"/>
        </w:tblCellMar>
        <w:tblLook w:val="04A0" w:firstRow="1" w:lastRow="0" w:firstColumn="1" w:lastColumn="0" w:noHBand="0" w:noVBand="1"/>
      </w:tblPr>
      <w:tblGrid>
        <w:gridCol w:w="9309"/>
      </w:tblGrid>
      <w:tr w:rsidR="00C81631" w:rsidRPr="00E2226B" w14:paraId="3E57CB38" w14:textId="77777777" w:rsidTr="00C81631">
        <w:tc>
          <w:tcPr>
            <w:tcW w:w="9309" w:type="dxa"/>
            <w:tcBorders>
              <w:top w:val="single" w:sz="4" w:space="0" w:color="4E81BD" w:themeColor="accent1"/>
              <w:left w:val="single" w:sz="4" w:space="0" w:color="4E81BD" w:themeColor="accent1"/>
              <w:bottom w:val="single" w:sz="4" w:space="0" w:color="4E81BD" w:themeColor="accent1"/>
              <w:right w:val="single" w:sz="4" w:space="0" w:color="4E81BD" w:themeColor="accent1"/>
            </w:tcBorders>
            <w:shd w:val="clear" w:color="auto" w:fill="EEECE1" w:themeFill="accent3"/>
          </w:tcPr>
          <w:p w14:paraId="263AD45C" w14:textId="77777777" w:rsidR="00C81631" w:rsidRDefault="00C81631" w:rsidP="00C81631">
            <w:pPr>
              <w:pStyle w:val="Caption"/>
            </w:pPr>
            <w:r w:rsidRPr="00B44A50">
              <w:t>Box</w:t>
            </w:r>
            <w:r>
              <w:t> </w:t>
            </w:r>
            <w:r>
              <w:rPr>
                <w:noProof/>
              </w:rPr>
              <w:fldChar w:fldCharType="begin"/>
            </w:r>
            <w:r>
              <w:rPr>
                <w:noProof/>
              </w:rPr>
              <w:instrText xml:space="preserve"> STYLEREF 1 \s </w:instrText>
            </w:r>
            <w:r>
              <w:rPr>
                <w:noProof/>
              </w:rPr>
              <w:fldChar w:fldCharType="separate"/>
            </w:r>
            <w:r w:rsidR="00E76A87">
              <w:rPr>
                <w:noProof/>
              </w:rPr>
              <w:t>4</w:t>
            </w:r>
            <w:r>
              <w:rPr>
                <w:noProof/>
              </w:rPr>
              <w:fldChar w:fldCharType="end"/>
            </w:r>
            <w:r>
              <w:t>.</w:t>
            </w:r>
            <w:r>
              <w:rPr>
                <w:noProof/>
              </w:rPr>
              <w:fldChar w:fldCharType="begin"/>
            </w:r>
            <w:r>
              <w:rPr>
                <w:noProof/>
              </w:rPr>
              <w:instrText xml:space="preserve"> SEQ Box \* ARABIC \s 1 </w:instrText>
            </w:r>
            <w:r>
              <w:rPr>
                <w:noProof/>
              </w:rPr>
              <w:fldChar w:fldCharType="separate"/>
            </w:r>
            <w:r w:rsidR="00E76A87">
              <w:rPr>
                <w:noProof/>
              </w:rPr>
              <w:t>1</w:t>
            </w:r>
            <w:r>
              <w:rPr>
                <w:noProof/>
              </w:rPr>
              <w:fldChar w:fldCharType="end"/>
            </w:r>
            <w:r>
              <w:t xml:space="preserve">. Mechanisms to identify and mitigate </w:t>
            </w:r>
            <w:proofErr w:type="gramStart"/>
            <w:r w:rsidR="000C7E8E">
              <w:t>inaccuracies</w:t>
            </w:r>
            <w:proofErr w:type="gramEnd"/>
          </w:p>
          <w:p w14:paraId="39F19A4D" w14:textId="77777777" w:rsidR="00C81631" w:rsidRDefault="00C81631" w:rsidP="00C81631">
            <w:pPr>
              <w:pStyle w:val="Para0"/>
            </w:pPr>
            <w:r>
              <w:t>To allow for the verification of information</w:t>
            </w:r>
            <w:r w:rsidR="009C482D">
              <w:t>,</w:t>
            </w:r>
            <w:r>
              <w:t xml:space="preserve"> countries may consider mechanisms that allow: </w:t>
            </w:r>
          </w:p>
          <w:p w14:paraId="04B93D64" w14:textId="77777777" w:rsidR="00C81631" w:rsidRDefault="00C81631" w:rsidP="00C81631">
            <w:pPr>
              <w:pStyle w:val="BulletedList"/>
            </w:pPr>
            <w:r>
              <w:t xml:space="preserve">Access by reporting entities to information so that it may be used, for example, to complement CDD obligations. </w:t>
            </w:r>
          </w:p>
          <w:p w14:paraId="5174C865" w14:textId="77777777" w:rsidR="00C81631" w:rsidRDefault="00C81631" w:rsidP="00C81631">
            <w:pPr>
              <w:pStyle w:val="BulletedList"/>
            </w:pPr>
            <w:r>
              <w:t xml:space="preserve">Adjudicating discrepancy reports and feedback system: If reliant on a registry, countries </w:t>
            </w:r>
            <w:r w:rsidR="00271B13">
              <w:t>may</w:t>
            </w:r>
            <w:r>
              <w:t xml:space="preserve"> consider implementing a system to review and adjudicate discrepancy reports fairly and efficiently, emphasising due process and a risk-based approach. Trustees and persons holding equivalent positions in other legal arrangements should be informed at the appropriate time of the reported discrepancies (with reasons) so that data can be rectified in a timely manner (whilst avoiding tipping off, where applicable). Upon resolving a difference, countries should consider notifying the reporting entity to align all information. </w:t>
            </w:r>
          </w:p>
          <w:p w14:paraId="0838A4D5" w14:textId="77777777" w:rsidR="00C81631" w:rsidRDefault="00C81631" w:rsidP="00C81631">
            <w:pPr>
              <w:pStyle w:val="BulletedList"/>
            </w:pPr>
            <w:r>
              <w:t>Record-keeping: Countries should consider properly recording information so that potential users of this information are aware that this data might not be adequate, accurate</w:t>
            </w:r>
            <w:r w:rsidR="009C482D">
              <w:t>,</w:t>
            </w:r>
            <w:r>
              <w:t xml:space="preserve"> or up-to-date. </w:t>
            </w:r>
          </w:p>
          <w:p w14:paraId="00184691" w14:textId="77777777" w:rsidR="00C81631" w:rsidRPr="00775FF9" w:rsidRDefault="00C81631" w:rsidP="00C81631">
            <w:pPr>
              <w:pStyle w:val="Para0"/>
            </w:pPr>
            <w:r>
              <w:t>Privacy considerations should be considered along with data privacy laws, client confidentiality, and other relevant concerns. For instance, safeguards should be made to prevent data leakage.</w:t>
            </w:r>
          </w:p>
        </w:tc>
      </w:tr>
    </w:tbl>
    <w:p w14:paraId="491BF312" w14:textId="77777777" w:rsidR="003A6712" w:rsidRPr="001F61E3" w:rsidRDefault="003A6712" w:rsidP="00A00875">
      <w:pPr>
        <w:pStyle w:val="Para"/>
        <w:tabs>
          <w:tab w:val="clear" w:pos="680"/>
          <w:tab w:val="num" w:pos="1135"/>
        </w:tabs>
        <w:ind w:left="720"/>
        <w:rPr>
          <w:rFonts w:eastAsia="Cambria"/>
          <w:color w:val="000000"/>
          <w:lang w:eastAsia="it-IT"/>
        </w:rPr>
      </w:pPr>
      <w:r w:rsidRPr="001F61E3">
        <w:rPr>
          <w:rFonts w:eastAsia="Cambria"/>
          <w:color w:val="000000"/>
          <w:lang w:eastAsia="it-IT"/>
        </w:rPr>
        <w:t>Regardless of the mechanisms used, countries may also require a declaration that the information disclosed at the time of submission is truthful and complete.</w:t>
      </w:r>
      <w:r w:rsidRPr="001F61E3">
        <w:rPr>
          <w:rFonts w:eastAsia="Cambria"/>
          <w:color w:val="000000"/>
          <w:vertAlign w:val="superscript"/>
          <w:lang w:eastAsia="it-IT"/>
        </w:rPr>
        <w:footnoteReference w:id="21"/>
      </w:r>
      <w:r w:rsidRPr="001F61E3">
        <w:rPr>
          <w:rFonts w:eastAsia="Cambria"/>
          <w:color w:val="000000"/>
          <w:vertAlign w:val="superscript"/>
          <w:lang w:eastAsia="it-IT"/>
        </w:rPr>
        <w:t xml:space="preserve"> </w:t>
      </w:r>
      <w:r w:rsidRPr="001F61E3">
        <w:rPr>
          <w:rFonts w:eastAsia="Cambria"/>
          <w:color w:val="000000"/>
          <w:lang w:eastAsia="it-IT"/>
        </w:rPr>
        <w:t xml:space="preserve">While the declaration would put the primary burden of providing truthful information on the </w:t>
      </w:r>
      <w:r w:rsidRPr="001F61E3">
        <w:rPr>
          <w:rFonts w:eastAsia="Cambria"/>
          <w:color w:val="000000"/>
          <w:lang w:eastAsia="it-IT"/>
        </w:rPr>
        <w:lastRenderedPageBreak/>
        <w:t>party</w:t>
      </w:r>
      <w:r w:rsidR="00533E92">
        <w:rPr>
          <w:rFonts w:eastAsia="Cambria"/>
          <w:color w:val="000000"/>
          <w:lang w:eastAsia="it-IT"/>
        </w:rPr>
        <w:t>(</w:t>
      </w:r>
      <w:proofErr w:type="spellStart"/>
      <w:r w:rsidR="00533E92">
        <w:rPr>
          <w:rFonts w:eastAsia="Cambria"/>
          <w:color w:val="000000"/>
          <w:lang w:eastAsia="it-IT"/>
        </w:rPr>
        <w:t>ies</w:t>
      </w:r>
      <w:proofErr w:type="spellEnd"/>
      <w:r w:rsidR="00533E92">
        <w:rPr>
          <w:rFonts w:eastAsia="Cambria"/>
          <w:color w:val="000000"/>
          <w:lang w:eastAsia="it-IT"/>
        </w:rPr>
        <w:t>)</w:t>
      </w:r>
      <w:r w:rsidRPr="001F61E3">
        <w:rPr>
          <w:rFonts w:eastAsia="Cambria"/>
          <w:color w:val="000000"/>
          <w:lang w:eastAsia="it-IT"/>
        </w:rPr>
        <w:t xml:space="preserve"> making the submission, this should not replace the various verification efforts by the receiving </w:t>
      </w:r>
      <w:r w:rsidR="00533E92">
        <w:rPr>
          <w:rFonts w:eastAsia="Cambria"/>
          <w:color w:val="000000"/>
          <w:lang w:eastAsia="it-IT"/>
        </w:rPr>
        <w:t>the</w:t>
      </w:r>
      <w:r w:rsidRPr="001F61E3">
        <w:rPr>
          <w:rFonts w:eastAsia="Cambria"/>
          <w:color w:val="000000"/>
          <w:lang w:eastAsia="it-IT"/>
        </w:rPr>
        <w:t xml:space="preserve"> information. </w:t>
      </w:r>
      <w:r w:rsidR="00651C5F" w:rsidRPr="001F61E3">
        <w:rPr>
          <w:rFonts w:eastAsia="Cambria"/>
          <w:color w:val="000000"/>
          <w:lang w:eastAsia="it-IT"/>
        </w:rPr>
        <w:t>The applicable legal framework should also provide for dissuasive sanctions to be applied where it is established that a false or inaccurate declaration has been provided.</w:t>
      </w:r>
      <w:r w:rsidRPr="001F61E3">
        <w:rPr>
          <w:rFonts w:eastAsia="Cambria"/>
          <w:color w:val="000000"/>
          <w:lang w:eastAsia="it-IT"/>
        </w:rPr>
        <w:t xml:space="preserve"> </w:t>
      </w:r>
    </w:p>
    <w:p w14:paraId="5048C4D7" w14:textId="77777777" w:rsidR="003A6712" w:rsidRDefault="003A6712" w:rsidP="000908E6">
      <w:pPr>
        <w:pStyle w:val="Para"/>
        <w:tabs>
          <w:tab w:val="clear" w:pos="680"/>
          <w:tab w:val="num" w:pos="1135"/>
        </w:tabs>
        <w:ind w:left="720"/>
        <w:rPr>
          <w:lang w:eastAsia="it-IT"/>
        </w:rPr>
      </w:pPr>
      <w:r w:rsidRPr="00A00875">
        <w:rPr>
          <w:rFonts w:eastAsia="Cambria"/>
          <w:color w:val="000000"/>
          <w:lang w:eastAsia="it-IT"/>
        </w:rPr>
        <w:t>Countries may consider establishing an obligation on the parties and beneficial owners of the trusts to provide the trustee, upon request or spontaneously, with any relevant information to ensure the accuracy, as well as the update, of the information</w:t>
      </w:r>
      <w:r>
        <w:rPr>
          <w:lang w:eastAsia="it-IT"/>
        </w:rPr>
        <w:t xml:space="preserve">. </w:t>
      </w:r>
      <w:r w:rsidRPr="00FD0A28">
        <w:rPr>
          <w:lang w:eastAsia="it-IT"/>
        </w:rPr>
        <w:t xml:space="preserve"> </w:t>
      </w:r>
    </w:p>
    <w:p w14:paraId="12B45B01" w14:textId="77777777" w:rsidR="003A6712" w:rsidRPr="00FD0A28" w:rsidRDefault="003A6712" w:rsidP="003A6712">
      <w:pPr>
        <w:pStyle w:val="Heading3"/>
        <w:numPr>
          <w:ilvl w:val="2"/>
          <w:numId w:val="4"/>
        </w:numPr>
        <w:jc w:val="both"/>
        <w:rPr>
          <w:rFonts w:eastAsia="Calibri"/>
          <w:lang w:eastAsia="it-IT"/>
        </w:rPr>
      </w:pPr>
      <w:bookmarkStart w:id="34" w:name="_Toc76273"/>
      <w:r w:rsidRPr="00FD0A28">
        <w:rPr>
          <w:rFonts w:eastAsia="Calibri"/>
          <w:lang w:eastAsia="it-IT"/>
        </w:rPr>
        <w:t xml:space="preserve">Verification of Identity of the Beneficial Owner </w:t>
      </w:r>
      <w:bookmarkEnd w:id="34"/>
    </w:p>
    <w:p w14:paraId="2C13E23F" w14:textId="77777777" w:rsidR="003A6712" w:rsidRPr="00FD0A28" w:rsidRDefault="003A6712" w:rsidP="00A00875">
      <w:pPr>
        <w:pStyle w:val="Para"/>
        <w:tabs>
          <w:tab w:val="clear" w:pos="680"/>
          <w:tab w:val="num" w:pos="1135"/>
        </w:tabs>
        <w:ind w:left="720"/>
        <w:rPr>
          <w:rFonts w:eastAsia="Cambria"/>
          <w:color w:val="000000"/>
          <w:lang w:eastAsia="it-IT"/>
        </w:rPr>
      </w:pPr>
      <w:r w:rsidRPr="00FD0A28">
        <w:rPr>
          <w:rFonts w:eastAsia="Cambria"/>
          <w:color w:val="000000"/>
          <w:lang w:eastAsia="it-IT"/>
        </w:rPr>
        <w:t>In the identity verification processes</w:t>
      </w:r>
      <w:r w:rsidR="000A71F1">
        <w:rPr>
          <w:rFonts w:eastAsia="Cambria"/>
          <w:color w:val="000000"/>
          <w:lang w:eastAsia="it-IT"/>
        </w:rPr>
        <w:t>,</w:t>
      </w:r>
      <w:r w:rsidRPr="00FD0A28">
        <w:rPr>
          <w:rFonts w:eastAsia="Cambria"/>
          <w:color w:val="000000"/>
          <w:lang w:eastAsia="it-IT"/>
        </w:rPr>
        <w:t xml:space="preserve"> appropriate steps should be taken to prove that a natural person, who has been identified as a beneficial owner, exists and is who they claim to be, e.g., </w:t>
      </w:r>
      <w:r w:rsidR="000A71F1">
        <w:rPr>
          <w:rFonts w:eastAsia="Cambria"/>
          <w:color w:val="000000"/>
          <w:lang w:eastAsia="it-IT"/>
        </w:rPr>
        <w:t>by</w:t>
      </w:r>
      <w:r w:rsidRPr="00FD0A28">
        <w:rPr>
          <w:rFonts w:eastAsia="Cambria"/>
          <w:color w:val="000000"/>
          <w:lang w:eastAsia="it-IT"/>
        </w:rPr>
        <w:t xml:space="preserve"> review</w:t>
      </w:r>
      <w:r w:rsidR="000A71F1">
        <w:rPr>
          <w:rFonts w:eastAsia="Cambria"/>
          <w:color w:val="000000"/>
          <w:lang w:eastAsia="it-IT"/>
        </w:rPr>
        <w:t>ing</w:t>
      </w:r>
      <w:r w:rsidRPr="00FD0A28">
        <w:rPr>
          <w:rFonts w:eastAsia="Cambria"/>
          <w:color w:val="000000"/>
          <w:lang w:eastAsia="it-IT"/>
        </w:rPr>
        <w:t xml:space="preserve"> government-issued identity documents</w:t>
      </w:r>
      <w:r>
        <w:rPr>
          <w:rFonts w:eastAsia="Cambria"/>
          <w:color w:val="000000"/>
          <w:lang w:eastAsia="it-IT"/>
        </w:rPr>
        <w:t xml:space="preserve"> or other reliable documents or information</w:t>
      </w:r>
      <w:r w:rsidRPr="00FD0A28">
        <w:rPr>
          <w:rFonts w:eastAsia="Cambria"/>
          <w:color w:val="000000"/>
          <w:lang w:eastAsia="it-IT"/>
        </w:rPr>
        <w:t>. An identity is a combination of “attributes” that belong to a person, e.g., name, date of birth</w:t>
      </w:r>
      <w:r w:rsidR="000A71F1">
        <w:rPr>
          <w:rFonts w:eastAsia="Cambria"/>
          <w:color w:val="000000"/>
          <w:lang w:eastAsia="it-IT"/>
        </w:rPr>
        <w:t>,</w:t>
      </w:r>
      <w:r w:rsidRPr="00FD0A28">
        <w:rPr>
          <w:rFonts w:eastAsia="Cambria"/>
          <w:color w:val="000000"/>
          <w:lang w:eastAsia="it-IT"/>
        </w:rPr>
        <w:t xml:space="preserve"> and nationality</w:t>
      </w:r>
      <w:r w:rsidR="001555EA">
        <w:rPr>
          <w:rFonts w:eastAsia="Cambria"/>
          <w:color w:val="000000"/>
          <w:lang w:eastAsia="it-IT"/>
        </w:rPr>
        <w:t xml:space="preserve">. </w:t>
      </w:r>
      <w:r w:rsidR="00B33F65">
        <w:rPr>
          <w:rFonts w:eastAsia="Cambria"/>
          <w:color w:val="000000"/>
          <w:lang w:eastAsia="it-IT"/>
        </w:rPr>
        <w:t>For example, in the case of registries, s</w:t>
      </w:r>
      <w:r w:rsidRPr="00FD0A28">
        <w:rPr>
          <w:rFonts w:eastAsia="Cambria"/>
          <w:color w:val="000000"/>
          <w:lang w:eastAsia="it-IT"/>
        </w:rPr>
        <w:t>uch verification could be done by an automated</w:t>
      </w:r>
      <w:r w:rsidR="000A71F1">
        <w:rPr>
          <w:rFonts w:eastAsia="Cambria"/>
          <w:color w:val="000000"/>
          <w:lang w:eastAsia="it-IT"/>
        </w:rPr>
        <w:t xml:space="preserve"> data</w:t>
      </w:r>
      <w:r w:rsidRPr="00FD0A28">
        <w:rPr>
          <w:rFonts w:eastAsia="Cambria"/>
          <w:color w:val="000000"/>
          <w:lang w:eastAsia="it-IT"/>
        </w:rPr>
        <w:t xml:space="preserve"> exchange with a reliable national system such as a residence register, tax register, passport database or electoral information</w:t>
      </w:r>
      <w:r w:rsidR="00F15D20">
        <w:rPr>
          <w:rFonts w:eastAsia="Cambria"/>
          <w:color w:val="000000"/>
          <w:lang w:eastAsia="it-IT"/>
        </w:rPr>
        <w:t>, bank account registries</w:t>
      </w:r>
      <w:r w:rsidR="000A71F1">
        <w:rPr>
          <w:rFonts w:eastAsia="Cambria"/>
          <w:color w:val="000000"/>
          <w:lang w:eastAsia="it-IT"/>
        </w:rPr>
        <w:t>,</w:t>
      </w:r>
      <w:r w:rsidR="00F15D20">
        <w:rPr>
          <w:rFonts w:eastAsia="Cambria"/>
          <w:color w:val="000000"/>
          <w:lang w:eastAsia="it-IT"/>
        </w:rPr>
        <w:t xml:space="preserve"> and other population and vehicle or land registries</w:t>
      </w:r>
      <w:r w:rsidRPr="00FD0A28">
        <w:rPr>
          <w:rFonts w:eastAsia="Cambria"/>
          <w:color w:val="000000"/>
          <w:lang w:eastAsia="it-IT"/>
        </w:rPr>
        <w:t>. The verifying party may rely on such an exchange</w:t>
      </w:r>
      <w:r>
        <w:rPr>
          <w:rFonts w:eastAsia="Cambria"/>
          <w:color w:val="000000"/>
          <w:lang w:eastAsia="it-IT"/>
        </w:rPr>
        <w:t xml:space="preserve"> </w:t>
      </w:r>
      <w:r w:rsidRPr="00FD0A28">
        <w:rPr>
          <w:rFonts w:eastAsia="Cambria"/>
          <w:color w:val="000000"/>
          <w:lang w:eastAsia="it-IT"/>
        </w:rPr>
        <w:t xml:space="preserve">if it provides the same level of assurance.  </w:t>
      </w:r>
    </w:p>
    <w:p w14:paraId="11DB5D29" w14:textId="77777777" w:rsidR="003A6712" w:rsidRDefault="003A6712" w:rsidP="00A00875">
      <w:pPr>
        <w:pStyle w:val="Para"/>
        <w:tabs>
          <w:tab w:val="clear" w:pos="680"/>
          <w:tab w:val="num" w:pos="1135"/>
        </w:tabs>
        <w:ind w:left="720"/>
        <w:rPr>
          <w:rFonts w:eastAsia="Cambria"/>
          <w:color w:val="000000"/>
          <w:lang w:eastAsia="it-IT"/>
        </w:rPr>
      </w:pPr>
      <w:r w:rsidRPr="00FD0A28">
        <w:rPr>
          <w:rFonts w:eastAsia="Cambria"/>
          <w:color w:val="000000"/>
          <w:lang w:eastAsia="it-IT"/>
        </w:rPr>
        <w:t>When verifying a person’s identity, the robustness of the evidence must be considered. This relates to the amount and reliability of</w:t>
      </w:r>
      <w:r w:rsidR="001F61E3" w:rsidRPr="001F61E3">
        <w:rPr>
          <w:rFonts w:eastAsia="Cambria"/>
          <w:color w:val="000000"/>
          <w:lang w:eastAsia="it-IT"/>
        </w:rPr>
        <w:t xml:space="preserve"> </w:t>
      </w:r>
      <w:r w:rsidRPr="00FD0A28">
        <w:rPr>
          <w:rFonts w:eastAsia="Cambria"/>
          <w:color w:val="000000"/>
          <w:lang w:eastAsia="it-IT"/>
        </w:rPr>
        <w:t>source data, document</w:t>
      </w:r>
      <w:r w:rsidR="00F1727F">
        <w:rPr>
          <w:rFonts w:eastAsia="Cambria"/>
          <w:color w:val="000000"/>
          <w:lang w:eastAsia="it-IT"/>
        </w:rPr>
        <w:t>s,</w:t>
      </w:r>
      <w:r w:rsidRPr="00FD0A28">
        <w:rPr>
          <w:rFonts w:eastAsia="Cambria"/>
          <w:color w:val="000000"/>
          <w:lang w:eastAsia="it-IT"/>
        </w:rPr>
        <w:t xml:space="preserve"> or information provided, and a risk-based approach should apply. For verifying the identity of a beneficial owner located abroad, the receiving end of beneficial ownership </w:t>
      </w:r>
      <w:r w:rsidRPr="00D127CA">
        <w:rPr>
          <w:rFonts w:eastAsia="Cambria"/>
          <w:color w:val="000000"/>
          <w:lang w:eastAsia="it-IT"/>
        </w:rPr>
        <w:t xml:space="preserve">information should take steps to verify the authenticity of legal documentation provided from abroad.  </w:t>
      </w:r>
    </w:p>
    <w:p w14:paraId="2791B24E" w14:textId="77777777" w:rsidR="003A6712" w:rsidRPr="00E83C18" w:rsidRDefault="003A6712" w:rsidP="00A00875">
      <w:pPr>
        <w:pStyle w:val="Para"/>
        <w:tabs>
          <w:tab w:val="clear" w:pos="680"/>
          <w:tab w:val="num" w:pos="1135"/>
        </w:tabs>
        <w:ind w:left="720"/>
        <w:rPr>
          <w:lang w:eastAsia="it-IT"/>
        </w:rPr>
      </w:pPr>
      <w:r w:rsidRPr="00A00875">
        <w:rPr>
          <w:rFonts w:eastAsia="Cambria"/>
          <w:color w:val="000000"/>
          <w:lang w:eastAsia="it-IT"/>
        </w:rPr>
        <w:t>Identity information is considered accurate where it is verified using reliable documents, data, or information. The type and extent of verification measures are to be determined</w:t>
      </w:r>
      <w:r w:rsidRPr="00E83C18">
        <w:rPr>
          <w:lang w:eastAsia="it-IT"/>
        </w:rPr>
        <w:t xml:space="preserve"> based on the level of risk posed by the business relationship or occasional transaction being carried out. Level of risk is based on various elements including but not restricted to:</w:t>
      </w:r>
    </w:p>
    <w:p w14:paraId="1B722DF5" w14:textId="77777777" w:rsidR="003A6712" w:rsidRPr="00E83C18" w:rsidRDefault="003A6712" w:rsidP="00BD75D6">
      <w:pPr>
        <w:pStyle w:val="BulletedList"/>
        <w:numPr>
          <w:ilvl w:val="0"/>
          <w:numId w:val="25"/>
        </w:numPr>
        <w:rPr>
          <w:lang w:eastAsia="it-IT"/>
        </w:rPr>
      </w:pPr>
      <w:r w:rsidRPr="00E83C18">
        <w:rPr>
          <w:lang w:eastAsia="it-IT"/>
        </w:rPr>
        <w:t xml:space="preserve">the source </w:t>
      </w:r>
      <w:r>
        <w:rPr>
          <w:lang w:eastAsia="it-IT"/>
        </w:rPr>
        <w:t xml:space="preserve">and value </w:t>
      </w:r>
      <w:r w:rsidRPr="00E83C18">
        <w:rPr>
          <w:lang w:eastAsia="it-IT"/>
        </w:rPr>
        <w:t>of the assets settled in trus</w:t>
      </w:r>
      <w:r>
        <w:rPr>
          <w:lang w:eastAsia="it-IT"/>
        </w:rPr>
        <w:t>t</w:t>
      </w:r>
      <w:r w:rsidR="006B58DF">
        <w:rPr>
          <w:lang w:eastAsia="it-IT"/>
        </w:rPr>
        <w:t>.</w:t>
      </w:r>
      <w:r w:rsidRPr="00E83C18">
        <w:rPr>
          <w:lang w:eastAsia="it-IT"/>
        </w:rPr>
        <w:t xml:space="preserve"> </w:t>
      </w:r>
    </w:p>
    <w:p w14:paraId="0659DEC2" w14:textId="77777777" w:rsidR="003A6712" w:rsidRPr="00E83C18" w:rsidRDefault="003A6712" w:rsidP="00BD75D6">
      <w:pPr>
        <w:pStyle w:val="BulletedList"/>
        <w:numPr>
          <w:ilvl w:val="0"/>
          <w:numId w:val="25"/>
        </w:numPr>
        <w:rPr>
          <w:lang w:eastAsia="it-IT"/>
        </w:rPr>
      </w:pPr>
      <w:r w:rsidRPr="00E83C18">
        <w:rPr>
          <w:lang w:eastAsia="it-IT"/>
        </w:rPr>
        <w:t xml:space="preserve">the country of origin, country of residence of the settlor, protector and other parties including </w:t>
      </w:r>
      <w:r w:rsidR="00B33F65">
        <w:rPr>
          <w:lang w:eastAsia="it-IT"/>
        </w:rPr>
        <w:t>any</w:t>
      </w:r>
      <w:r w:rsidR="00B33F65" w:rsidRPr="00E83C18">
        <w:rPr>
          <w:lang w:eastAsia="it-IT"/>
        </w:rPr>
        <w:t xml:space="preserve"> </w:t>
      </w:r>
      <w:r w:rsidRPr="00E83C18">
        <w:rPr>
          <w:lang w:eastAsia="it-IT"/>
        </w:rPr>
        <w:t>object of a power</w:t>
      </w:r>
      <w:r w:rsidR="006B58DF">
        <w:rPr>
          <w:lang w:eastAsia="it-IT"/>
        </w:rPr>
        <w:t>.</w:t>
      </w:r>
      <w:r w:rsidRPr="00E83C18">
        <w:rPr>
          <w:lang w:eastAsia="it-IT"/>
        </w:rPr>
        <w:t xml:space="preserve"> </w:t>
      </w:r>
    </w:p>
    <w:p w14:paraId="40C36848" w14:textId="77777777" w:rsidR="003A6712" w:rsidRPr="00E83C18" w:rsidRDefault="003A6712" w:rsidP="00BD75D6">
      <w:pPr>
        <w:pStyle w:val="BulletedList"/>
        <w:numPr>
          <w:ilvl w:val="0"/>
          <w:numId w:val="25"/>
        </w:numPr>
        <w:rPr>
          <w:lang w:eastAsia="it-IT"/>
        </w:rPr>
      </w:pPr>
      <w:r w:rsidRPr="00E83C18">
        <w:rPr>
          <w:lang w:eastAsia="it-IT"/>
        </w:rPr>
        <w:t>the status of the object of a power or any other party (</w:t>
      </w:r>
      <w:r w:rsidR="006B58DF" w:rsidRPr="00E83C18">
        <w:rPr>
          <w:lang w:eastAsia="it-IT"/>
        </w:rPr>
        <w:t>e.g.,</w:t>
      </w:r>
      <w:r w:rsidRPr="00E83C18">
        <w:rPr>
          <w:lang w:eastAsia="it-IT"/>
        </w:rPr>
        <w:t xml:space="preserve"> whether he/she is a PEP or other high</w:t>
      </w:r>
      <w:r w:rsidR="006B58DF">
        <w:rPr>
          <w:lang w:eastAsia="it-IT"/>
        </w:rPr>
        <w:t>-</w:t>
      </w:r>
      <w:r w:rsidRPr="00E83C18">
        <w:rPr>
          <w:lang w:eastAsia="it-IT"/>
        </w:rPr>
        <w:t>risk customer)</w:t>
      </w:r>
      <w:r w:rsidR="006B58DF">
        <w:rPr>
          <w:lang w:eastAsia="it-IT"/>
        </w:rPr>
        <w:t>.</w:t>
      </w:r>
    </w:p>
    <w:p w14:paraId="238467A7" w14:textId="77777777" w:rsidR="003A6712" w:rsidRPr="00E83C18" w:rsidRDefault="003A6712" w:rsidP="00BD75D6">
      <w:pPr>
        <w:pStyle w:val="BulletedList"/>
        <w:numPr>
          <w:ilvl w:val="0"/>
          <w:numId w:val="25"/>
        </w:numPr>
        <w:rPr>
          <w:lang w:eastAsia="it-IT"/>
        </w:rPr>
      </w:pPr>
      <w:r w:rsidRPr="00E83C18">
        <w:rPr>
          <w:lang w:eastAsia="it-IT"/>
        </w:rPr>
        <w:t>complexity of the structure</w:t>
      </w:r>
      <w:r w:rsidR="00F1727F">
        <w:rPr>
          <w:lang w:eastAsia="it-IT"/>
        </w:rPr>
        <w:t>.</w:t>
      </w:r>
      <w:r w:rsidRPr="00E83C18">
        <w:rPr>
          <w:lang w:eastAsia="it-IT"/>
        </w:rPr>
        <w:t xml:space="preserve"> </w:t>
      </w:r>
    </w:p>
    <w:p w14:paraId="29892ED0" w14:textId="77777777" w:rsidR="003A6712" w:rsidRPr="00CB508D" w:rsidRDefault="003A6712" w:rsidP="00BD75D6">
      <w:pPr>
        <w:pStyle w:val="BulletedList"/>
        <w:numPr>
          <w:ilvl w:val="0"/>
          <w:numId w:val="25"/>
        </w:numPr>
        <w:rPr>
          <w:lang w:eastAsia="it-IT"/>
        </w:rPr>
      </w:pPr>
      <w:r w:rsidRPr="00E83C18">
        <w:rPr>
          <w:lang w:eastAsia="it-IT"/>
        </w:rPr>
        <w:t>the purpose of the settling of property in trust</w:t>
      </w:r>
      <w:r w:rsidR="00B33F65">
        <w:rPr>
          <w:lang w:eastAsia="it-IT"/>
        </w:rPr>
        <w:t>, if known</w:t>
      </w:r>
      <w:r w:rsidRPr="00E83C18">
        <w:rPr>
          <w:lang w:eastAsia="it-IT"/>
        </w:rPr>
        <w:t>.</w:t>
      </w:r>
    </w:p>
    <w:p w14:paraId="0ED59D6F" w14:textId="77777777" w:rsidR="003A6712" w:rsidRPr="00FD0A28" w:rsidRDefault="003A6712" w:rsidP="003A6712">
      <w:pPr>
        <w:pStyle w:val="Heading3"/>
        <w:numPr>
          <w:ilvl w:val="2"/>
          <w:numId w:val="4"/>
        </w:numPr>
        <w:jc w:val="both"/>
        <w:rPr>
          <w:rFonts w:eastAsia="Calibri"/>
          <w:lang w:eastAsia="it-IT"/>
        </w:rPr>
      </w:pPr>
      <w:bookmarkStart w:id="35" w:name="_Toc76274"/>
      <w:r w:rsidRPr="00FD0A28">
        <w:rPr>
          <w:rFonts w:eastAsia="Calibri"/>
          <w:lang w:eastAsia="it-IT"/>
        </w:rPr>
        <w:t xml:space="preserve">Verification of Status of the Beneficial Owner  </w:t>
      </w:r>
      <w:bookmarkEnd w:id="35"/>
    </w:p>
    <w:p w14:paraId="340563D2" w14:textId="77777777" w:rsidR="003A6712" w:rsidRPr="00B477F8" w:rsidRDefault="003A6712" w:rsidP="00A00875">
      <w:pPr>
        <w:pStyle w:val="Para"/>
        <w:tabs>
          <w:tab w:val="clear" w:pos="680"/>
          <w:tab w:val="num" w:pos="1135"/>
        </w:tabs>
        <w:ind w:left="720"/>
        <w:rPr>
          <w:rFonts w:eastAsia="Cambria"/>
          <w:color w:val="000000"/>
          <w:lang w:eastAsia="it-IT"/>
        </w:rPr>
      </w:pPr>
      <w:r w:rsidRPr="00B477F8">
        <w:rPr>
          <w:rFonts w:eastAsia="Cambria"/>
          <w:color w:val="000000"/>
          <w:lang w:eastAsia="it-IT"/>
        </w:rPr>
        <w:t xml:space="preserve">Depending on the level of risk, verification of the status of the beneficial owner includes but is not limited to the following elements:  </w:t>
      </w:r>
    </w:p>
    <w:p w14:paraId="4DD3477B" w14:textId="77777777" w:rsidR="003A6712" w:rsidRPr="00B477F8" w:rsidRDefault="003A6712" w:rsidP="00885103">
      <w:pPr>
        <w:pStyle w:val="BulletedList"/>
        <w:numPr>
          <w:ilvl w:val="0"/>
          <w:numId w:val="14"/>
        </w:numPr>
        <w:rPr>
          <w:lang w:eastAsia="it-IT"/>
        </w:rPr>
      </w:pPr>
      <w:r w:rsidRPr="00B477F8">
        <w:rPr>
          <w:lang w:eastAsia="it-IT"/>
        </w:rPr>
        <w:t xml:space="preserve">Does the person identified as the beneficial owner meet the definition of a beneficial owner of the trust or the </w:t>
      </w:r>
      <w:r w:rsidR="00DF05B3">
        <w:rPr>
          <w:lang w:eastAsia="it-IT"/>
        </w:rPr>
        <w:t xml:space="preserve">similar </w:t>
      </w:r>
      <w:r w:rsidRPr="00B477F8">
        <w:rPr>
          <w:lang w:eastAsia="it-IT"/>
        </w:rPr>
        <w:t xml:space="preserve">legal arrangement? </w:t>
      </w:r>
      <w:r w:rsidR="006B58DF" w:rsidRPr="00B477F8">
        <w:rPr>
          <w:lang w:eastAsia="it-IT"/>
        </w:rPr>
        <w:t>i.e.,</w:t>
      </w:r>
      <w:r w:rsidRPr="00B477F8">
        <w:rPr>
          <w:lang w:eastAsia="it-IT"/>
        </w:rPr>
        <w:t xml:space="preserve"> is the person identified as beneficial owner the settlor/trustee/protector/beneficiary or object of </w:t>
      </w:r>
      <w:r w:rsidR="00DF05B3">
        <w:rPr>
          <w:lang w:eastAsia="it-IT"/>
        </w:rPr>
        <w:t xml:space="preserve">a </w:t>
      </w:r>
      <w:r w:rsidRPr="00B477F8">
        <w:rPr>
          <w:lang w:eastAsia="it-IT"/>
        </w:rPr>
        <w:t xml:space="preserve">power of the trust/similar legal arrangement?  </w:t>
      </w:r>
    </w:p>
    <w:p w14:paraId="3D6A0B81" w14:textId="77777777" w:rsidR="003A6712" w:rsidRPr="00B477F8" w:rsidRDefault="003A6712" w:rsidP="00885103">
      <w:pPr>
        <w:pStyle w:val="BulletedList"/>
        <w:numPr>
          <w:ilvl w:val="0"/>
          <w:numId w:val="14"/>
        </w:numPr>
        <w:rPr>
          <w:lang w:eastAsia="it-IT"/>
        </w:rPr>
      </w:pPr>
      <w:r w:rsidRPr="00B477F8">
        <w:rPr>
          <w:lang w:eastAsia="it-IT"/>
        </w:rPr>
        <w:t xml:space="preserve">Are there any other persons who can exercise ultimate effective control over the trust? Is the settlor or any of the beneficiaries acting as a nominee? </w:t>
      </w:r>
    </w:p>
    <w:p w14:paraId="28483B31" w14:textId="77777777" w:rsidR="003A6712" w:rsidRPr="00B477F8" w:rsidRDefault="003A6712" w:rsidP="00885103">
      <w:pPr>
        <w:pStyle w:val="BulletedList"/>
        <w:numPr>
          <w:ilvl w:val="0"/>
          <w:numId w:val="14"/>
        </w:numPr>
        <w:rPr>
          <w:lang w:eastAsia="it-IT"/>
        </w:rPr>
      </w:pPr>
      <w:r w:rsidRPr="00B477F8">
        <w:rPr>
          <w:lang w:eastAsia="it-IT"/>
        </w:rPr>
        <w:lastRenderedPageBreak/>
        <w:t>Are there any legal persons/arrangements among the parties of the trust/similar legal arrangements? I</w:t>
      </w:r>
      <w:r w:rsidRPr="00B477F8">
        <w:t>f so, have the natural persons who are their beneficial owners been identified?</w:t>
      </w:r>
    </w:p>
    <w:p w14:paraId="76138CC8" w14:textId="77777777" w:rsidR="003A6712" w:rsidRPr="00B477F8" w:rsidRDefault="003A6712" w:rsidP="00885103">
      <w:pPr>
        <w:pStyle w:val="BulletedList"/>
        <w:numPr>
          <w:ilvl w:val="0"/>
          <w:numId w:val="14"/>
        </w:numPr>
        <w:rPr>
          <w:lang w:eastAsia="it-IT"/>
        </w:rPr>
      </w:pPr>
      <w:r w:rsidRPr="00B477F8">
        <w:t xml:space="preserve">Are there any nominee arrangements involving parties </w:t>
      </w:r>
      <w:r w:rsidR="00AB28E0">
        <w:t>to</w:t>
      </w:r>
      <w:r w:rsidRPr="00B477F8">
        <w:t xml:space="preserve"> the trust/similar legal arrangements? If so, have the natural person who is the nominator (or its beneficial owners if the nomination is a legal person/arrangement) been identified? </w:t>
      </w:r>
    </w:p>
    <w:p w14:paraId="670CC785" w14:textId="77777777" w:rsidR="003A6712" w:rsidRPr="00FD0A28" w:rsidRDefault="003A6712" w:rsidP="00A00875">
      <w:pPr>
        <w:pStyle w:val="Para"/>
        <w:tabs>
          <w:tab w:val="clear" w:pos="680"/>
          <w:tab w:val="num" w:pos="1135"/>
        </w:tabs>
        <w:ind w:left="720"/>
        <w:rPr>
          <w:rFonts w:eastAsia="Cambria"/>
          <w:color w:val="000000"/>
          <w:lang w:eastAsia="it-IT"/>
        </w:rPr>
      </w:pPr>
      <w:r w:rsidRPr="0013243A">
        <w:rPr>
          <w:rFonts w:eastAsia="Cambria"/>
          <w:lang w:eastAsia="it-IT"/>
        </w:rPr>
        <w:t>As the status of a beneficial owner may change over time</w:t>
      </w:r>
      <w:r>
        <w:rPr>
          <w:rFonts w:eastAsia="Cambria"/>
          <w:lang w:eastAsia="it-IT"/>
        </w:rPr>
        <w:t>,</w:t>
      </w:r>
      <w:r w:rsidR="004E5C97">
        <w:rPr>
          <w:rFonts w:eastAsia="Cambria"/>
          <w:lang w:eastAsia="it-IT"/>
        </w:rPr>
        <w:t xml:space="preserve"> countries may consider requiring that</w:t>
      </w:r>
      <w:r w:rsidRPr="0013243A">
        <w:rPr>
          <w:rFonts w:eastAsia="Cambria"/>
          <w:lang w:eastAsia="it-IT"/>
        </w:rPr>
        <w:t xml:space="preserve"> the information </w:t>
      </w:r>
      <w:r w:rsidRPr="00A00875">
        <w:rPr>
          <w:rFonts w:eastAsia="Cambria"/>
          <w:color w:val="000000"/>
          <w:lang w:eastAsia="it-IT"/>
        </w:rPr>
        <w:t>be</w:t>
      </w:r>
      <w:r w:rsidRPr="0013243A">
        <w:rPr>
          <w:rFonts w:eastAsia="Cambria"/>
          <w:lang w:eastAsia="it-IT"/>
        </w:rPr>
        <w:t xml:space="preserve"> verified</w:t>
      </w:r>
      <w:r w:rsidR="004E5C97">
        <w:rPr>
          <w:rFonts w:eastAsia="Cambria"/>
          <w:lang w:eastAsia="it-IT"/>
        </w:rPr>
        <w:t xml:space="preserve"> where it is updated</w:t>
      </w:r>
      <w:r w:rsidRPr="0013243A">
        <w:rPr>
          <w:rFonts w:eastAsia="Cambria"/>
          <w:lang w:eastAsia="it-IT"/>
        </w:rPr>
        <w:t xml:space="preserve"> (instead of simply relying on the checks carried out at the point</w:t>
      </w:r>
      <w:r w:rsidRPr="0013243A">
        <w:t xml:space="preserve"> when the trust is formed and/or information filed to a registry</w:t>
      </w:r>
      <w:r w:rsidR="00271B13">
        <w:rPr>
          <w:rFonts w:eastAsia="Cambria"/>
          <w:lang w:eastAsia="it-IT"/>
        </w:rPr>
        <w:t>)</w:t>
      </w:r>
      <w:r w:rsidRPr="00FD0A28">
        <w:rPr>
          <w:rFonts w:eastAsia="Cambria"/>
          <w:color w:val="000000"/>
          <w:lang w:eastAsia="it-IT"/>
        </w:rPr>
        <w:t xml:space="preserve">. The historical </w:t>
      </w:r>
      <w:r w:rsidR="00F1727F">
        <w:rPr>
          <w:rFonts w:eastAsia="Cambria"/>
          <w:color w:val="000000"/>
          <w:lang w:eastAsia="it-IT"/>
        </w:rPr>
        <w:t>data</w:t>
      </w:r>
      <w:r w:rsidR="00F1727F" w:rsidRPr="00FD0A28">
        <w:rPr>
          <w:rFonts w:eastAsia="Cambria"/>
          <w:color w:val="000000"/>
          <w:lang w:eastAsia="it-IT"/>
        </w:rPr>
        <w:t xml:space="preserve"> </w:t>
      </w:r>
      <w:r w:rsidRPr="00FD0A28">
        <w:rPr>
          <w:rFonts w:eastAsia="Cambria"/>
          <w:color w:val="000000"/>
          <w:lang w:eastAsia="it-IT"/>
        </w:rPr>
        <w:t xml:space="preserve">collected over time </w:t>
      </w:r>
      <w:r w:rsidR="004E5C97">
        <w:rPr>
          <w:rFonts w:eastAsia="Cambria"/>
          <w:color w:val="000000"/>
          <w:lang w:eastAsia="it-IT"/>
        </w:rPr>
        <w:t>could</w:t>
      </w:r>
      <w:r w:rsidR="004E5C97" w:rsidRPr="00FD0A28">
        <w:rPr>
          <w:rFonts w:eastAsia="Cambria"/>
          <w:color w:val="000000"/>
          <w:lang w:eastAsia="it-IT"/>
        </w:rPr>
        <w:t xml:space="preserve"> </w:t>
      </w:r>
      <w:r w:rsidRPr="00FD0A28">
        <w:rPr>
          <w:rFonts w:eastAsia="Cambria"/>
          <w:color w:val="000000"/>
          <w:lang w:eastAsia="it-IT"/>
        </w:rPr>
        <w:t>also be useful to national authorities, FIs</w:t>
      </w:r>
      <w:r w:rsidR="00F1727F">
        <w:rPr>
          <w:rFonts w:eastAsia="Cambria"/>
          <w:color w:val="000000"/>
          <w:lang w:eastAsia="it-IT"/>
        </w:rPr>
        <w:t>,</w:t>
      </w:r>
      <w:r w:rsidRPr="00FD0A28">
        <w:rPr>
          <w:rFonts w:eastAsia="Cambria"/>
          <w:color w:val="000000"/>
          <w:lang w:eastAsia="it-IT"/>
        </w:rPr>
        <w:t xml:space="preserve"> or DNFBPs.</w:t>
      </w:r>
      <w:r w:rsidRPr="00FD0A28">
        <w:rPr>
          <w:rFonts w:eastAsia="Cambria"/>
          <w:b/>
          <w:color w:val="000000"/>
          <w:lang w:eastAsia="it-IT"/>
        </w:rPr>
        <w:t xml:space="preserve">  </w:t>
      </w:r>
    </w:p>
    <w:p w14:paraId="704F24B0" w14:textId="77777777" w:rsidR="003A6712" w:rsidRPr="002154A3" w:rsidRDefault="003A6712" w:rsidP="003A6712">
      <w:pPr>
        <w:pStyle w:val="Heading2"/>
        <w:numPr>
          <w:ilvl w:val="1"/>
          <w:numId w:val="4"/>
        </w:numPr>
        <w:jc w:val="both"/>
      </w:pPr>
      <w:bookmarkStart w:id="36" w:name="_Toc145618541"/>
      <w:bookmarkStart w:id="37" w:name="_Toc149217174"/>
      <w:r w:rsidRPr="00E22726">
        <w:t>Up</w:t>
      </w:r>
      <w:r>
        <w:t>-</w:t>
      </w:r>
      <w:r w:rsidRPr="00E22726">
        <w:t>to</w:t>
      </w:r>
      <w:r>
        <w:t>-</w:t>
      </w:r>
      <w:r w:rsidRPr="00E22726">
        <w:t>date</w:t>
      </w:r>
      <w:r>
        <w:t xml:space="preserve"> beneficial ownership information</w:t>
      </w:r>
      <w:r>
        <w:rPr>
          <w:rStyle w:val="FootnoteReference"/>
        </w:rPr>
        <w:footnoteReference w:id="22"/>
      </w:r>
      <w:bookmarkEnd w:id="36"/>
      <w:bookmarkEnd w:id="37"/>
    </w:p>
    <w:p w14:paraId="273F58F1" w14:textId="77777777" w:rsidR="003A6712" w:rsidRPr="00A00875" w:rsidRDefault="006B58DF" w:rsidP="00A00875">
      <w:pPr>
        <w:pStyle w:val="Para"/>
        <w:tabs>
          <w:tab w:val="clear" w:pos="680"/>
          <w:tab w:val="num" w:pos="1135"/>
        </w:tabs>
        <w:ind w:left="720"/>
        <w:rPr>
          <w:rFonts w:eastAsia="Cambria"/>
          <w:color w:val="000000"/>
          <w:lang w:eastAsia="it-IT"/>
        </w:rPr>
      </w:pPr>
      <w:r>
        <w:t>Countries should</w:t>
      </w:r>
      <w:r w:rsidR="003A6712">
        <w:t xml:space="preserve"> require trustees and persons holding an equivalent position in similar legal arrangements to obtain and hold up</w:t>
      </w:r>
      <w:r w:rsidR="003A6712" w:rsidRPr="00A00875">
        <w:rPr>
          <w:rFonts w:eastAsia="Cambria"/>
          <w:color w:val="000000"/>
          <w:lang w:eastAsia="it-IT"/>
        </w:rPr>
        <w:t>-to-date beneficial ownership information and that such information is available to FIs, DNFBPs</w:t>
      </w:r>
      <w:r w:rsidR="00F1727F">
        <w:rPr>
          <w:rFonts w:eastAsia="Cambria"/>
          <w:color w:val="000000"/>
          <w:lang w:eastAsia="it-IT"/>
        </w:rPr>
        <w:t>,</w:t>
      </w:r>
      <w:r w:rsidR="003A6712" w:rsidRPr="00A00875">
        <w:rPr>
          <w:rFonts w:eastAsia="Cambria"/>
          <w:color w:val="000000"/>
          <w:lang w:eastAsia="it-IT"/>
        </w:rPr>
        <w:t xml:space="preserve"> and competent authorities.</w:t>
      </w:r>
    </w:p>
    <w:p w14:paraId="4443E9B2" w14:textId="77777777" w:rsidR="003A6712" w:rsidRPr="003657F4" w:rsidRDefault="003A6712" w:rsidP="00A00875">
      <w:pPr>
        <w:pStyle w:val="Para"/>
        <w:tabs>
          <w:tab w:val="clear" w:pos="680"/>
          <w:tab w:val="num" w:pos="1135"/>
        </w:tabs>
        <w:ind w:left="720"/>
        <w:rPr>
          <w:bCs/>
        </w:rPr>
      </w:pPr>
      <w:r w:rsidRPr="00A00875">
        <w:rPr>
          <w:rFonts w:eastAsia="Cambria"/>
          <w:color w:val="000000"/>
          <w:lang w:eastAsia="it-IT"/>
        </w:rPr>
        <w:t>As a best practice to ensure that information is up-to-date, countries may consider requiring periodical validat</w:t>
      </w:r>
      <w:r w:rsidR="00B33F65">
        <w:rPr>
          <w:rFonts w:eastAsia="Cambria"/>
          <w:color w:val="000000"/>
          <w:lang w:eastAsia="it-IT"/>
        </w:rPr>
        <w:t>ion of</w:t>
      </w:r>
      <w:r w:rsidRPr="00A00875">
        <w:rPr>
          <w:rFonts w:eastAsia="Cambria"/>
          <w:color w:val="000000"/>
          <w:lang w:eastAsia="it-IT"/>
        </w:rPr>
        <w:t xml:space="preserve"> the beneficial ownership information on a risk-based approach, such as by reviewing or verifying the information. Such regular validation could</w:t>
      </w:r>
      <w:r>
        <w:t xml:space="preserve"> be considered for trustees or their equivalents, as well as for other mechanisms used to ensure that FIs, DNFBPs and competent authorities have access to such information.</w:t>
      </w:r>
      <w:r w:rsidRPr="00FD0A28">
        <w:t xml:space="preserve"> </w:t>
      </w:r>
      <w:r>
        <w:t>R</w:t>
      </w:r>
      <w:r w:rsidRPr="00FD0A28">
        <w:t>egular validation</w:t>
      </w:r>
      <w:r>
        <w:t xml:space="preserve"> processes</w:t>
      </w:r>
      <w:r w:rsidRPr="00FD0A28">
        <w:t xml:space="preserve"> could contribute to uncovering changes in the beneficial ownership and would be useful if a</w:t>
      </w:r>
      <w:r w:rsidRPr="00FD0A28">
        <w:rPr>
          <w:b/>
        </w:rPr>
        <w:t xml:space="preserve"> </w:t>
      </w:r>
      <w:r w:rsidRPr="003657F4">
        <w:rPr>
          <w:bCs/>
        </w:rPr>
        <w:t xml:space="preserve">trustee or equivalent inadvertently fails to identify and report these changes. </w:t>
      </w:r>
    </w:p>
    <w:p w14:paraId="7C692AD3" w14:textId="77777777" w:rsidR="003A6712" w:rsidRDefault="003A6712" w:rsidP="00A00875">
      <w:pPr>
        <w:pStyle w:val="Para"/>
        <w:tabs>
          <w:tab w:val="clear" w:pos="680"/>
          <w:tab w:val="num" w:pos="1135"/>
        </w:tabs>
        <w:ind w:left="720"/>
      </w:pPr>
      <w:r w:rsidRPr="00FD0A28">
        <w:t>In the case of legal arrangements, specific events which</w:t>
      </w:r>
      <w:r>
        <w:t xml:space="preserve"> may</w:t>
      </w:r>
      <w:r w:rsidRPr="00FD0A28">
        <w:t xml:space="preserve"> warrant updating of information within the ‘reasonable timeframe’ include when beneficiaries previously </w:t>
      </w:r>
      <w:r w:rsidRPr="00A00875">
        <w:rPr>
          <w:rFonts w:eastAsia="Cambria"/>
          <w:color w:val="000000"/>
          <w:lang w:eastAsia="it-IT"/>
        </w:rPr>
        <w:t>identified</w:t>
      </w:r>
      <w:r w:rsidRPr="00FD0A28">
        <w:t xml:space="preserve"> by class or characteristics become ascertainable due to, for example, the expiration of an accumulation period or the trustee of a discretionary trust exercising their discretionary powers to determine who the beneficiaries shall be.</w:t>
      </w:r>
      <w:r>
        <w:t xml:space="preserve"> </w:t>
      </w:r>
    </w:p>
    <w:p w14:paraId="699CE6B2" w14:textId="77777777" w:rsidR="003A6712" w:rsidRDefault="003A6712" w:rsidP="00A00875">
      <w:pPr>
        <w:pStyle w:val="Para"/>
        <w:tabs>
          <w:tab w:val="clear" w:pos="680"/>
          <w:tab w:val="num" w:pos="1135"/>
        </w:tabs>
        <w:ind w:left="720"/>
      </w:pPr>
      <w:r w:rsidRPr="00861902">
        <w:t xml:space="preserve">When there are changes to any of the basic and beneficial ownership information of </w:t>
      </w:r>
      <w:r w:rsidRPr="00A00875">
        <w:rPr>
          <w:rFonts w:eastAsia="Cambria"/>
          <w:color w:val="000000"/>
          <w:lang w:eastAsia="it-IT"/>
        </w:rPr>
        <w:t>trusts</w:t>
      </w:r>
      <w:r w:rsidRPr="00861902">
        <w:t xml:space="preserve"> or similar legal arrangements</w:t>
      </w:r>
      <w:r>
        <w:t xml:space="preserve"> (e.g.</w:t>
      </w:r>
      <w:r w:rsidRPr="00861902">
        <w:t>, addition of new beneficiaries, appointment of co-trustees or protectors, or changes to identity details of current parties</w:t>
      </w:r>
      <w:r>
        <w:t>),</w:t>
      </w:r>
      <w:r w:rsidRPr="00861902">
        <w:t xml:space="preserve"> trustees are expected to obtain and verify </w:t>
      </w:r>
      <w:r>
        <w:t>this</w:t>
      </w:r>
      <w:r w:rsidRPr="00861902">
        <w:t xml:space="preserve"> information within a reasonable time from when </w:t>
      </w:r>
      <w:r w:rsidR="00D22FC9">
        <w:t>the</w:t>
      </w:r>
      <w:r w:rsidRPr="00861902">
        <w:t xml:space="preserve"> chan</w:t>
      </w:r>
      <w:r>
        <w:t>g</w:t>
      </w:r>
      <w:r w:rsidRPr="00861902">
        <w:t>e</w:t>
      </w:r>
      <w:r w:rsidR="00D22FC9">
        <w:t xml:space="preserve"> occurs</w:t>
      </w:r>
      <w:r>
        <w:t>. In addition, depending on the mechanism used by the country to ensure that competent authorities can access up-to-date information, countries should have mechanisms in place to ensure that the information is updated within a reasonable timeframe.</w:t>
      </w:r>
    </w:p>
    <w:p w14:paraId="434B3938" w14:textId="77777777" w:rsidR="003A6712" w:rsidRPr="00A00875" w:rsidRDefault="003A6712" w:rsidP="00A00875">
      <w:pPr>
        <w:pStyle w:val="Para"/>
        <w:tabs>
          <w:tab w:val="clear" w:pos="680"/>
          <w:tab w:val="num" w:pos="1135"/>
        </w:tabs>
        <w:ind w:left="720"/>
        <w:rPr>
          <w:rFonts w:eastAsia="Cambria"/>
          <w:color w:val="000000"/>
          <w:lang w:eastAsia="it-IT"/>
        </w:rPr>
      </w:pPr>
      <w:r>
        <w:rPr>
          <w:rFonts w:asciiTheme="minorHAnsi" w:hAnsiTheme="minorHAnsi" w:cstheme="minorHAnsi"/>
        </w:rPr>
        <w:t xml:space="preserve">It can be considered that a reasonable time to update information </w:t>
      </w:r>
      <w:r w:rsidR="004E5C97">
        <w:rPr>
          <w:rFonts w:asciiTheme="minorHAnsi" w:hAnsiTheme="minorHAnsi" w:cstheme="minorHAnsi"/>
        </w:rPr>
        <w:t xml:space="preserve">may be </w:t>
      </w:r>
      <w:r>
        <w:rPr>
          <w:rFonts w:asciiTheme="minorHAnsi" w:hAnsiTheme="minorHAnsi" w:cstheme="minorHAnsi"/>
        </w:rPr>
        <w:t>shorter i</w:t>
      </w:r>
      <w:r w:rsidRPr="00861902">
        <w:rPr>
          <w:rFonts w:asciiTheme="minorHAnsi" w:hAnsiTheme="minorHAnsi" w:cstheme="minorHAnsi"/>
        </w:rPr>
        <w:t>n cases where such changes are occasioned by the trustee himself (</w:t>
      </w:r>
      <w:proofErr w:type="gramStart"/>
      <w:r w:rsidRPr="00861902">
        <w:rPr>
          <w:rFonts w:asciiTheme="minorHAnsi" w:hAnsiTheme="minorHAnsi" w:cstheme="minorHAnsi"/>
        </w:rPr>
        <w:t>e.g.</w:t>
      </w:r>
      <w:proofErr w:type="gramEnd"/>
      <w:r w:rsidRPr="00861902">
        <w:rPr>
          <w:rFonts w:asciiTheme="minorHAnsi" w:hAnsiTheme="minorHAnsi" w:cstheme="minorHAnsi"/>
        </w:rPr>
        <w:t xml:space="preserve"> the trustee exercises his </w:t>
      </w:r>
      <w:r w:rsidRPr="00A00875">
        <w:rPr>
          <w:rFonts w:eastAsia="Cambria"/>
          <w:color w:val="000000"/>
          <w:lang w:eastAsia="it-IT"/>
        </w:rPr>
        <w:t xml:space="preserve">power to appoint a beneficiary, or the trustee identifies a person </w:t>
      </w:r>
      <w:r w:rsidR="00B33F65">
        <w:rPr>
          <w:rFonts w:eastAsia="Cambria"/>
          <w:color w:val="000000"/>
          <w:lang w:eastAsia="it-IT"/>
        </w:rPr>
        <w:t>as</w:t>
      </w:r>
      <w:r w:rsidR="00B33F65" w:rsidRPr="00A00875">
        <w:rPr>
          <w:rFonts w:eastAsia="Cambria"/>
          <w:color w:val="000000"/>
          <w:lang w:eastAsia="it-IT"/>
        </w:rPr>
        <w:t xml:space="preserve"> </w:t>
      </w:r>
      <w:r w:rsidRPr="00A00875">
        <w:rPr>
          <w:rFonts w:eastAsia="Cambria"/>
          <w:color w:val="000000"/>
          <w:lang w:eastAsia="it-IT"/>
        </w:rPr>
        <w:t xml:space="preserve">an object of </w:t>
      </w:r>
      <w:r w:rsidR="00B33F65">
        <w:rPr>
          <w:rFonts w:eastAsia="Cambria"/>
          <w:color w:val="000000"/>
          <w:lang w:eastAsia="it-IT"/>
        </w:rPr>
        <w:t xml:space="preserve">a </w:t>
      </w:r>
      <w:r w:rsidRPr="00A00875">
        <w:rPr>
          <w:rFonts w:eastAsia="Cambria"/>
          <w:color w:val="000000"/>
          <w:lang w:eastAsia="it-IT"/>
        </w:rPr>
        <w:t>power) or when the trustee becomes immediately aware of such changes (e.g., the amendment clause of a trust deed requires any amendments to occur with the trustee’s approval).</w:t>
      </w:r>
      <w:r w:rsidR="00D22FC9">
        <w:rPr>
          <w:rFonts w:eastAsia="Cambria"/>
          <w:color w:val="000000"/>
          <w:lang w:eastAsia="it-IT"/>
        </w:rPr>
        <w:t xml:space="preserve"> </w:t>
      </w:r>
      <w:r w:rsidRPr="00A00875">
        <w:rPr>
          <w:rFonts w:eastAsia="Cambria"/>
          <w:color w:val="000000"/>
          <w:lang w:eastAsia="it-IT"/>
        </w:rPr>
        <w:t xml:space="preserve">It is straightforward for the trustee to detect such changes and obtain and verify </w:t>
      </w:r>
      <w:r w:rsidR="004D5046">
        <w:rPr>
          <w:rFonts w:eastAsia="Cambria"/>
          <w:color w:val="000000"/>
          <w:lang w:eastAsia="it-IT"/>
        </w:rPr>
        <w:t>the updated</w:t>
      </w:r>
      <w:r w:rsidRPr="00A00875">
        <w:rPr>
          <w:rFonts w:eastAsia="Cambria"/>
          <w:color w:val="000000"/>
          <w:lang w:eastAsia="it-IT"/>
        </w:rPr>
        <w:t xml:space="preserve"> information expected to take place </w:t>
      </w:r>
      <w:r w:rsidR="00DF05B3">
        <w:rPr>
          <w:rFonts w:eastAsia="Cambria"/>
          <w:color w:val="000000"/>
          <w:lang w:eastAsia="it-IT"/>
        </w:rPr>
        <w:t>within a reasonable period</w:t>
      </w:r>
      <w:r w:rsidRPr="00A00875">
        <w:rPr>
          <w:rFonts w:eastAsia="Cambria"/>
          <w:color w:val="000000"/>
          <w:lang w:eastAsia="it-IT"/>
        </w:rPr>
        <w:t>. While this is considered to be the norm (</w:t>
      </w:r>
      <w:r w:rsidR="00A860F1" w:rsidRPr="00A00875">
        <w:rPr>
          <w:rFonts w:eastAsia="Cambria"/>
          <w:color w:val="000000"/>
          <w:lang w:eastAsia="it-IT"/>
        </w:rPr>
        <w:t>i.e.,</w:t>
      </w:r>
      <w:r w:rsidRPr="00A00875">
        <w:rPr>
          <w:rFonts w:eastAsia="Cambria"/>
          <w:color w:val="000000"/>
          <w:lang w:eastAsia="it-IT"/>
        </w:rPr>
        <w:t xml:space="preserve"> for trustees to be immediately aware of any changes to the trust or its parties), this might not always</w:t>
      </w:r>
      <w:r w:rsidR="009C167D">
        <w:rPr>
          <w:rFonts w:eastAsia="Cambria"/>
          <w:color w:val="000000"/>
          <w:lang w:eastAsia="it-IT"/>
        </w:rPr>
        <w:t xml:space="preserve"> be</w:t>
      </w:r>
      <w:r w:rsidRPr="00A00875">
        <w:rPr>
          <w:rFonts w:eastAsia="Cambria"/>
          <w:color w:val="000000"/>
          <w:lang w:eastAsia="it-IT"/>
        </w:rPr>
        <w:t xml:space="preserve"> the case. </w:t>
      </w:r>
    </w:p>
    <w:p w14:paraId="37DEEB2B" w14:textId="77777777" w:rsidR="003A6712" w:rsidRPr="00054F09" w:rsidRDefault="003A6712" w:rsidP="00A00875">
      <w:pPr>
        <w:pStyle w:val="Para"/>
        <w:tabs>
          <w:tab w:val="clear" w:pos="680"/>
          <w:tab w:val="num" w:pos="1135"/>
        </w:tabs>
        <w:ind w:left="720"/>
        <w:rPr>
          <w:rFonts w:eastAsia="Cambria"/>
          <w:color w:val="000000"/>
          <w:lang w:eastAsia="it-IT"/>
        </w:rPr>
      </w:pPr>
      <w:r w:rsidRPr="00A00875">
        <w:rPr>
          <w:rFonts w:eastAsia="Cambria"/>
          <w:color w:val="000000"/>
          <w:lang w:eastAsia="it-IT"/>
        </w:rPr>
        <w:lastRenderedPageBreak/>
        <w:t xml:space="preserve">In other cases, to ensure that the basic and beneficial ownership remains up to date, trustees are expected to conduct periodic reviews to detect any updates. The periodicity is to be determined based on ML/TF risk. Trustees are also expected to conduct </w:t>
      </w:r>
      <w:r w:rsidR="00533E92">
        <w:rPr>
          <w:rFonts w:eastAsia="Cambria"/>
          <w:color w:val="000000"/>
          <w:lang w:eastAsia="it-IT"/>
        </w:rPr>
        <w:t xml:space="preserve">a </w:t>
      </w:r>
      <w:r w:rsidRPr="00A00875">
        <w:rPr>
          <w:rFonts w:eastAsia="Cambria"/>
          <w:color w:val="000000"/>
          <w:lang w:eastAsia="it-IT"/>
        </w:rPr>
        <w:t>review upon the occurrence of trigger events (</w:t>
      </w:r>
      <w:r w:rsidR="00A860F1" w:rsidRPr="00A00875">
        <w:rPr>
          <w:rFonts w:eastAsia="Cambria"/>
          <w:color w:val="000000"/>
          <w:lang w:eastAsia="it-IT"/>
        </w:rPr>
        <w:t>e.g.,</w:t>
      </w:r>
      <w:r w:rsidRPr="00A00875">
        <w:rPr>
          <w:rFonts w:eastAsia="Cambria"/>
          <w:color w:val="000000"/>
          <w:lang w:eastAsia="it-IT"/>
        </w:rPr>
        <w:t xml:space="preserve"> </w:t>
      </w:r>
      <w:proofErr w:type="spellStart"/>
      <w:r w:rsidRPr="00A00875">
        <w:rPr>
          <w:rFonts w:eastAsia="Cambria"/>
          <w:color w:val="000000"/>
          <w:lang w:eastAsia="it-IT"/>
        </w:rPr>
        <w:t>payout</w:t>
      </w:r>
      <w:proofErr w:type="spellEnd"/>
      <w:r w:rsidRPr="00A00875">
        <w:rPr>
          <w:rFonts w:eastAsia="Cambria"/>
          <w:color w:val="000000"/>
          <w:lang w:eastAsia="it-IT"/>
        </w:rPr>
        <w:t xml:space="preserve"> of significant amounts, receiving instructions from a newly appointed </w:t>
      </w:r>
      <w:r w:rsidRPr="00054F09">
        <w:rPr>
          <w:rFonts w:eastAsia="Cambria"/>
          <w:color w:val="000000"/>
          <w:lang w:eastAsia="it-IT"/>
        </w:rPr>
        <w:t xml:space="preserve">protector, settlement of additional assets in trust). </w:t>
      </w:r>
    </w:p>
    <w:p w14:paraId="7DF09195" w14:textId="77777777" w:rsidR="003A6712" w:rsidRPr="00A00875" w:rsidRDefault="00183CD6" w:rsidP="00A00875">
      <w:pPr>
        <w:pStyle w:val="Para"/>
        <w:tabs>
          <w:tab w:val="clear" w:pos="680"/>
          <w:tab w:val="num" w:pos="1135"/>
        </w:tabs>
        <w:ind w:left="720"/>
        <w:rPr>
          <w:rFonts w:eastAsia="Cambria"/>
          <w:color w:val="000000"/>
          <w:lang w:eastAsia="it-IT"/>
        </w:rPr>
      </w:pPr>
      <w:r>
        <w:rPr>
          <w:rFonts w:eastAsia="Cambria"/>
          <w:color w:val="000000"/>
          <w:lang w:eastAsia="it-IT"/>
        </w:rPr>
        <w:t>Countries should ensure that</w:t>
      </w:r>
      <w:r w:rsidR="003A6712" w:rsidRPr="00054F09">
        <w:rPr>
          <w:rFonts w:eastAsia="Cambria"/>
          <w:color w:val="000000"/>
          <w:lang w:eastAsia="it-IT"/>
        </w:rPr>
        <w:t xml:space="preserve"> </w:t>
      </w:r>
      <w:r w:rsidR="009C167D">
        <w:rPr>
          <w:rFonts w:eastAsia="Cambria"/>
          <w:color w:val="000000"/>
          <w:lang w:eastAsia="it-IT"/>
        </w:rPr>
        <w:t xml:space="preserve">trustees retain </w:t>
      </w:r>
      <w:r w:rsidR="003A6712" w:rsidRPr="00054F09">
        <w:rPr>
          <w:rFonts w:eastAsia="Cambria"/>
          <w:color w:val="000000"/>
          <w:lang w:eastAsia="it-IT"/>
        </w:rPr>
        <w:t>beneficial ownership records for at least five years</w:t>
      </w:r>
      <w:r w:rsidR="004E5C97">
        <w:rPr>
          <w:rFonts w:eastAsia="Cambria"/>
          <w:color w:val="000000"/>
          <w:lang w:eastAsia="it-IT"/>
        </w:rPr>
        <w:t xml:space="preserve"> after their involvement with the trust or legal arrangement ceases</w:t>
      </w:r>
      <w:r w:rsidR="003A6712" w:rsidRPr="00054F09">
        <w:rPr>
          <w:rFonts w:eastAsia="Cambria"/>
          <w:color w:val="000000"/>
          <w:lang w:eastAsia="it-IT"/>
        </w:rPr>
        <w:t>. These record-keeping timeframes</w:t>
      </w:r>
      <w:r w:rsidR="003A6712" w:rsidRPr="00A00875">
        <w:rPr>
          <w:rFonts w:eastAsia="Cambria"/>
          <w:color w:val="000000"/>
          <w:lang w:eastAsia="it-IT"/>
        </w:rPr>
        <w:t xml:space="preserve"> set out a minimum requirement. Trustees may thus, in order to adhere to other legal requirements or manage liability, keep records for </w:t>
      </w:r>
      <w:r w:rsidR="009C167D">
        <w:rPr>
          <w:rFonts w:eastAsia="Cambria"/>
          <w:color w:val="000000"/>
          <w:lang w:eastAsia="it-IT"/>
        </w:rPr>
        <w:t>more extended</w:t>
      </w:r>
      <w:r w:rsidR="009C167D" w:rsidRPr="00A00875">
        <w:rPr>
          <w:rFonts w:eastAsia="Cambria"/>
          <w:color w:val="000000"/>
          <w:lang w:eastAsia="it-IT"/>
        </w:rPr>
        <w:t xml:space="preserve"> </w:t>
      </w:r>
      <w:r w:rsidR="003A6712" w:rsidRPr="00A00875">
        <w:rPr>
          <w:rFonts w:eastAsia="Cambria"/>
          <w:color w:val="000000"/>
          <w:lang w:eastAsia="it-IT"/>
        </w:rPr>
        <w:t xml:space="preserve">periods. For instance, lengthier record-keeping requirements may emanate from trust law or may be necessary to render account of one’s actions as trustee. </w:t>
      </w:r>
    </w:p>
    <w:p w14:paraId="110DED7A" w14:textId="77777777" w:rsidR="003A6712" w:rsidRPr="00FD0A28" w:rsidRDefault="003A6712" w:rsidP="003A6712">
      <w:pPr>
        <w:pStyle w:val="Heading1"/>
        <w:numPr>
          <w:ilvl w:val="0"/>
          <w:numId w:val="4"/>
        </w:numPr>
        <w:ind w:right="680"/>
        <w:jc w:val="both"/>
        <w:rPr>
          <w:lang w:val="en-US"/>
        </w:rPr>
      </w:pPr>
      <w:bookmarkStart w:id="38" w:name="_Toc145618542"/>
      <w:bookmarkStart w:id="39" w:name="_Toc149217175"/>
      <w:r w:rsidRPr="00FD0A28">
        <w:t xml:space="preserve">Mechanisms and sources for obtaining beneficial ownership </w:t>
      </w:r>
      <w:proofErr w:type="gramStart"/>
      <w:r w:rsidRPr="00FD0A28">
        <w:t>information</w:t>
      </w:r>
      <w:bookmarkEnd w:id="38"/>
      <w:bookmarkEnd w:id="39"/>
      <w:proofErr w:type="gramEnd"/>
    </w:p>
    <w:p w14:paraId="5E5C2DF8" w14:textId="77777777" w:rsidR="003468F9" w:rsidRDefault="009C167D" w:rsidP="000C7E8E">
      <w:pPr>
        <w:pStyle w:val="Para"/>
      </w:pPr>
      <w:r>
        <w:t>To</w:t>
      </w:r>
      <w:r w:rsidR="003A6712">
        <w:t xml:space="preserve"> ensure that adequate, accurate</w:t>
      </w:r>
      <w:r>
        <w:t>,</w:t>
      </w:r>
      <w:r w:rsidR="003A6712">
        <w:t xml:space="preserve"> and up-to-date information on the basic and beneficial ownership of the trusts or other similar legal arrangements, trustees and trust assets, is accessible efficiently and in a timely manner by competent authorities, countries should consider, on the basis of risk, context and materiality, using any of the following sources of information as necessary</w:t>
      </w:r>
      <w:r w:rsidR="003468F9">
        <w:t xml:space="preserve"> (see INR.25.5)</w:t>
      </w:r>
      <w:r w:rsidR="009410F8">
        <w:t xml:space="preserve">. </w:t>
      </w:r>
    </w:p>
    <w:p w14:paraId="115C7C55" w14:textId="77777777" w:rsidR="003A6712" w:rsidRDefault="003A6712" w:rsidP="00BD75D6">
      <w:pPr>
        <w:pStyle w:val="BulletedList"/>
        <w:numPr>
          <w:ilvl w:val="0"/>
          <w:numId w:val="29"/>
        </w:numPr>
      </w:pPr>
      <w:r>
        <w:t>A public authority or body holding information on the beneficial ownership of trusts or other similar arrangements (</w:t>
      </w:r>
      <w:r w:rsidR="006B58DF">
        <w:t>e.g.,</w:t>
      </w:r>
      <w:r>
        <w:t xml:space="preserve"> in a central registry of trusts; or in asset registries for land, property, vehicles, shares or other assets that hold information on the beneficial ownership of trusts and other similar legal arrangements, which own such assets). Information need not be held by a single body only.</w:t>
      </w:r>
    </w:p>
    <w:p w14:paraId="241A7850" w14:textId="77777777" w:rsidR="003A6712" w:rsidRDefault="003A6712" w:rsidP="00BD75D6">
      <w:pPr>
        <w:pStyle w:val="BulletedList"/>
        <w:numPr>
          <w:ilvl w:val="0"/>
          <w:numId w:val="29"/>
        </w:numPr>
      </w:pPr>
      <w:r>
        <w:t>Other competent authorities that hold or obtain information on trusts/similar legal arrangements and trustees/their equivalents (</w:t>
      </w:r>
      <w:r w:rsidR="006B58DF">
        <w:t>e.g.,</w:t>
      </w:r>
      <w:r>
        <w:t xml:space="preserve"> tax authorities, which collect</w:t>
      </w:r>
      <w:r w:rsidRPr="00974D43">
        <w:t xml:space="preserve"> </w:t>
      </w:r>
      <w:r>
        <w:t>information on assets and income relating to trusts and other similar legal arrangements).</w:t>
      </w:r>
    </w:p>
    <w:p w14:paraId="268647B7" w14:textId="77777777" w:rsidR="003A6712" w:rsidRDefault="003A6712" w:rsidP="00BD75D6">
      <w:pPr>
        <w:pStyle w:val="BulletedList"/>
        <w:numPr>
          <w:ilvl w:val="0"/>
          <w:numId w:val="29"/>
        </w:numPr>
      </w:pPr>
      <w:r>
        <w:t>Other agents or service providers, including trust and company service providers, investment advisors or managers, accountants, lawyers, or financial institutions.</w:t>
      </w:r>
    </w:p>
    <w:p w14:paraId="087A093B" w14:textId="77777777" w:rsidR="009410F8" w:rsidRDefault="009410F8" w:rsidP="00BD75D6">
      <w:pPr>
        <w:pStyle w:val="Para"/>
        <w:numPr>
          <w:ilvl w:val="0"/>
          <w:numId w:val="24"/>
        </w:numPr>
        <w:tabs>
          <w:tab w:val="num" w:pos="1135"/>
        </w:tabs>
        <w:ind w:left="720"/>
      </w:pPr>
      <w:r>
        <w:t xml:space="preserve">Box 5.1 below further includes examples of mechanisms to access information, including some which are already mandatory </w:t>
      </w:r>
      <w:r w:rsidR="009C167D">
        <w:t>–</w:t>
      </w:r>
      <w:r>
        <w:t xml:space="preserve"> in line with standards.</w:t>
      </w:r>
    </w:p>
    <w:tbl>
      <w:tblPr>
        <w:tblStyle w:val="TableGrid"/>
        <w:tblpPr w:leftFromText="180" w:rightFromText="180" w:vertAnchor="text" w:horzAnchor="margin" w:tblpY="155"/>
        <w:tblW w:w="9309" w:type="dxa"/>
        <w:tblBorders>
          <w:top w:val="single" w:sz="18" w:space="0" w:color="4E81BD" w:themeColor="accent1"/>
          <w:left w:val="single" w:sz="18" w:space="0" w:color="4E81BD" w:themeColor="accent1"/>
          <w:bottom w:val="single" w:sz="18" w:space="0" w:color="4E81BD" w:themeColor="accent1"/>
          <w:right w:val="single" w:sz="18" w:space="0" w:color="4E81BD" w:themeColor="accent1"/>
          <w:insideH w:val="single" w:sz="18" w:space="0" w:color="4E81BD" w:themeColor="accent1"/>
          <w:insideV w:val="single" w:sz="18" w:space="0" w:color="4E81BD" w:themeColor="accent1"/>
        </w:tblBorders>
        <w:shd w:val="clear" w:color="auto" w:fill="FFFFFF" w:themeFill="background1"/>
        <w:tblCellMar>
          <w:left w:w="142" w:type="dxa"/>
          <w:bottom w:w="142" w:type="dxa"/>
          <w:right w:w="142" w:type="dxa"/>
        </w:tblCellMar>
        <w:tblLook w:val="04A0" w:firstRow="1" w:lastRow="0" w:firstColumn="1" w:lastColumn="0" w:noHBand="0" w:noVBand="1"/>
      </w:tblPr>
      <w:tblGrid>
        <w:gridCol w:w="9309"/>
      </w:tblGrid>
      <w:tr w:rsidR="006B58DF" w:rsidRPr="00D02302" w14:paraId="6DBDE6D4" w14:textId="77777777" w:rsidTr="006B58DF">
        <w:tc>
          <w:tcPr>
            <w:tcW w:w="9309" w:type="dxa"/>
            <w:tcBorders>
              <w:top w:val="single" w:sz="4" w:space="0" w:color="4E81BD" w:themeColor="accent1"/>
              <w:left w:val="single" w:sz="4" w:space="0" w:color="4E81BD" w:themeColor="accent1"/>
              <w:bottom w:val="single" w:sz="4" w:space="0" w:color="4E81BD" w:themeColor="accent1"/>
              <w:right w:val="single" w:sz="4" w:space="0" w:color="4E81BD" w:themeColor="accent1"/>
            </w:tcBorders>
            <w:shd w:val="clear" w:color="auto" w:fill="EEECE1" w:themeFill="accent3"/>
          </w:tcPr>
          <w:p w14:paraId="4CC0D66D" w14:textId="77777777" w:rsidR="006B58DF" w:rsidRPr="001237FC" w:rsidRDefault="006B58DF" w:rsidP="006B58DF">
            <w:pPr>
              <w:pStyle w:val="Caption"/>
            </w:pPr>
            <w:bookmarkStart w:id="40" w:name="_Toc145618543"/>
            <w:r w:rsidRPr="001237FC">
              <w:t>Box </w:t>
            </w:r>
            <w:r w:rsidRPr="001237FC">
              <w:rPr>
                <w:noProof/>
              </w:rPr>
              <w:fldChar w:fldCharType="begin"/>
            </w:r>
            <w:r w:rsidRPr="001237FC">
              <w:rPr>
                <w:noProof/>
              </w:rPr>
              <w:instrText xml:space="preserve"> STYLEREF 1 \s </w:instrText>
            </w:r>
            <w:r w:rsidRPr="001237FC">
              <w:rPr>
                <w:noProof/>
              </w:rPr>
              <w:fldChar w:fldCharType="separate"/>
            </w:r>
            <w:r w:rsidR="00E76A87">
              <w:rPr>
                <w:noProof/>
              </w:rPr>
              <w:t>5</w:t>
            </w:r>
            <w:r w:rsidRPr="001237FC">
              <w:rPr>
                <w:noProof/>
              </w:rPr>
              <w:fldChar w:fldCharType="end"/>
            </w:r>
            <w:r w:rsidRPr="001237FC">
              <w:t>.</w:t>
            </w:r>
            <w:r w:rsidRPr="001237FC">
              <w:rPr>
                <w:noProof/>
              </w:rPr>
              <w:fldChar w:fldCharType="begin"/>
            </w:r>
            <w:r w:rsidRPr="001237FC">
              <w:rPr>
                <w:noProof/>
              </w:rPr>
              <w:instrText xml:space="preserve"> SEQ Box \* ARABIC \s 1 </w:instrText>
            </w:r>
            <w:r w:rsidRPr="001237FC">
              <w:rPr>
                <w:noProof/>
              </w:rPr>
              <w:fldChar w:fldCharType="separate"/>
            </w:r>
            <w:r w:rsidR="00E76A87">
              <w:rPr>
                <w:noProof/>
              </w:rPr>
              <w:t>1</w:t>
            </w:r>
            <w:r w:rsidRPr="001237FC">
              <w:rPr>
                <w:noProof/>
              </w:rPr>
              <w:fldChar w:fldCharType="end"/>
            </w:r>
            <w:r w:rsidRPr="001237FC">
              <w:t xml:space="preserve">. Mechanisms to ensure the availability of beneficial ownership </w:t>
            </w:r>
            <w:proofErr w:type="gramStart"/>
            <w:r w:rsidRPr="001237FC">
              <w:t>information</w:t>
            </w:r>
            <w:proofErr w:type="gramEnd"/>
          </w:p>
          <w:p w14:paraId="1CEF0411" w14:textId="77777777" w:rsidR="006B58DF" w:rsidRPr="00A860F1" w:rsidRDefault="006B58DF" w:rsidP="006B58DF">
            <w:pPr>
              <w:pStyle w:val="BulletedList"/>
            </w:pPr>
            <w:r w:rsidRPr="00A860F1">
              <w:t>Trustees are required to obtain and hold information on the trustee, the settlor, the protector (if any), the beneficiaries or class of beneficiaries, object of a power</w:t>
            </w:r>
            <w:r w:rsidR="009C167D">
              <w:t>,</w:t>
            </w:r>
            <w:r w:rsidRPr="00A860F1">
              <w:t xml:space="preserve"> and any other person exercising control over the trust. </w:t>
            </w:r>
          </w:p>
          <w:p w14:paraId="187BCC4E" w14:textId="77777777" w:rsidR="006B58DF" w:rsidRPr="00A860F1" w:rsidRDefault="006B58DF" w:rsidP="006B58DF">
            <w:pPr>
              <w:pStyle w:val="BulletedList"/>
            </w:pPr>
            <w:r w:rsidRPr="00A860F1">
              <w:t>Trustees could hold the information in electronic form, to ensure that they can provide such information to competent authorities upon request, in a timely manner</w:t>
            </w:r>
            <w:r>
              <w:t>.</w:t>
            </w:r>
          </w:p>
          <w:p w14:paraId="605994CA" w14:textId="77777777" w:rsidR="006B58DF" w:rsidRPr="00A860F1" w:rsidRDefault="006B58DF" w:rsidP="006B58DF">
            <w:pPr>
              <w:pStyle w:val="BulletedList"/>
            </w:pPr>
            <w:r w:rsidRPr="00A860F1">
              <w:t xml:space="preserve">The obligations on trustees are supervised and enforced by a competent authority and trustees are subject to dissuasive and proportionate sanctions for failure to hold the required information, or for failing to grant to competent </w:t>
            </w:r>
            <w:r w:rsidR="001B096C" w:rsidRPr="00A860F1">
              <w:t>authorities’</w:t>
            </w:r>
            <w:r w:rsidRPr="00A860F1">
              <w:t xml:space="preserve"> timely access to information regarding the trust. </w:t>
            </w:r>
          </w:p>
          <w:p w14:paraId="67ADFC05" w14:textId="77777777" w:rsidR="006B58DF" w:rsidRPr="00A860F1" w:rsidRDefault="006B58DF" w:rsidP="006B58DF">
            <w:pPr>
              <w:pStyle w:val="BulletedList"/>
            </w:pPr>
            <w:r w:rsidRPr="00A860F1">
              <w:lastRenderedPageBreak/>
              <w:t>Trustees of express trusts are required to disclose their status to financial institutions. Sanctions apply for the provision of false information such as administrative penalties.</w:t>
            </w:r>
          </w:p>
          <w:p w14:paraId="18AA4893" w14:textId="77777777" w:rsidR="006B58DF" w:rsidRPr="00A860F1" w:rsidRDefault="006B58DF" w:rsidP="006B58DF">
            <w:pPr>
              <w:pStyle w:val="BulletedList"/>
            </w:pPr>
            <w:r w:rsidRPr="00A860F1">
              <w:t xml:space="preserve">TCSPs, lawyers and accountants carry out CDD and understand their CDD obligations with respect to beneficial ownership, and are subject to AML/CFT supervision, in line with R.10. </w:t>
            </w:r>
          </w:p>
          <w:p w14:paraId="57AEF370" w14:textId="77777777" w:rsidR="006B58DF" w:rsidRPr="00C47B3E" w:rsidRDefault="006B58DF" w:rsidP="006B58DF">
            <w:pPr>
              <w:pStyle w:val="BulletedList"/>
              <w:rPr>
                <w:b/>
                <w:bCs/>
                <w:i/>
                <w:iCs/>
              </w:rPr>
            </w:pPr>
            <w:r w:rsidRPr="00A860F1">
              <w:t>A country could establish a central registry of trusts which includes information (</w:t>
            </w:r>
            <w:proofErr w:type="spellStart"/>
            <w:r w:rsidRPr="00A860F1">
              <w:t>i</w:t>
            </w:r>
            <w:proofErr w:type="spellEnd"/>
            <w:r w:rsidRPr="00A860F1">
              <w:t>) the settlor(s), (ii) the trustee(s), (iii) the protectors (if any); (iv) each beneficiary(</w:t>
            </w:r>
            <w:proofErr w:type="spellStart"/>
            <w:r w:rsidRPr="00A860F1">
              <w:t>ies</w:t>
            </w:r>
            <w:proofErr w:type="spellEnd"/>
            <w:r w:rsidRPr="00A860F1">
              <w:t xml:space="preserve">) or, where applicable, the class of beneficiaries and objects of a power, and (v) any other natural person(s) exercising ultimate effective control over the trust. </w:t>
            </w:r>
          </w:p>
        </w:tc>
      </w:tr>
    </w:tbl>
    <w:p w14:paraId="294D365F" w14:textId="77777777" w:rsidR="003A6712" w:rsidRDefault="003A6712" w:rsidP="003A6712">
      <w:pPr>
        <w:pStyle w:val="Heading2"/>
        <w:numPr>
          <w:ilvl w:val="1"/>
          <w:numId w:val="4"/>
        </w:numPr>
        <w:jc w:val="both"/>
      </w:pPr>
      <w:bookmarkStart w:id="41" w:name="_Toc149217176"/>
      <w:r>
        <w:lastRenderedPageBreak/>
        <w:t>Trustees</w:t>
      </w:r>
      <w:bookmarkEnd w:id="40"/>
      <w:bookmarkEnd w:id="41"/>
      <w:r>
        <w:t xml:space="preserve"> </w:t>
      </w:r>
    </w:p>
    <w:p w14:paraId="122BAEF6" w14:textId="77777777" w:rsidR="003A6712" w:rsidRDefault="001D74A5" w:rsidP="00A00875">
      <w:pPr>
        <w:pStyle w:val="Para"/>
      </w:pPr>
      <w:r>
        <w:t>C</w:t>
      </w:r>
      <w:r w:rsidR="003A6712">
        <w:t xml:space="preserve">ountries should require trustees of any express trust and persons holding an equivalent position in a similar legal arrangement, </w:t>
      </w:r>
      <w:r w:rsidR="00B768E0">
        <w:t xml:space="preserve">who </w:t>
      </w:r>
      <w:r w:rsidR="003A6712">
        <w:t xml:space="preserve">are residents in </w:t>
      </w:r>
      <w:r w:rsidR="003A6712" w:rsidRPr="00A00875">
        <w:t>their</w:t>
      </w:r>
      <w:r w:rsidR="003A6712">
        <w:t xml:space="preserve"> country or administer any express trusts or similar legal arrangements in their country, to obtain and hold adequate, accurate, and up-to-date beneficial ownership information regarding the trust </w:t>
      </w:r>
      <w:r w:rsidR="00B33F65">
        <w:t>or</w:t>
      </w:r>
      <w:r w:rsidR="003A6712">
        <w:t xml:space="preserve"> similar legal arrangement.</w:t>
      </w:r>
    </w:p>
    <w:p w14:paraId="30E3BBAE" w14:textId="77777777" w:rsidR="003A6712" w:rsidRPr="00FD0A28" w:rsidRDefault="003A6712" w:rsidP="003A6712">
      <w:pPr>
        <w:pStyle w:val="Heading2"/>
        <w:numPr>
          <w:ilvl w:val="1"/>
          <w:numId w:val="4"/>
        </w:numPr>
        <w:jc w:val="both"/>
      </w:pPr>
      <w:bookmarkStart w:id="42" w:name="_Toc145618544"/>
      <w:bookmarkStart w:id="43" w:name="_Toc149217177"/>
      <w:r w:rsidRPr="00FD0A28">
        <w:t>The Registry Approach</w:t>
      </w:r>
      <w:bookmarkEnd w:id="42"/>
      <w:bookmarkEnd w:id="43"/>
      <w:r w:rsidRPr="00FD0A28">
        <w:t xml:space="preserve"> </w:t>
      </w:r>
    </w:p>
    <w:p w14:paraId="2BA3D169" w14:textId="77777777" w:rsidR="001740FF" w:rsidRPr="00FD0A28" w:rsidRDefault="001740FF" w:rsidP="00A00875">
      <w:pPr>
        <w:pStyle w:val="Para"/>
      </w:pPr>
      <w:bookmarkStart w:id="44" w:name="_Toc145618545"/>
      <w:r w:rsidRPr="00FD0A28">
        <w:t xml:space="preserve">The “registry approach” envisaged as one of the sources of beneficial ownership information on legal persons under </w:t>
      </w:r>
      <w:r w:rsidR="00E945F4">
        <w:t>R.</w:t>
      </w:r>
      <w:r w:rsidRPr="00FD0A28">
        <w:t xml:space="preserve">24, </w:t>
      </w:r>
      <w:r>
        <w:t>may</w:t>
      </w:r>
      <w:r w:rsidRPr="00FD0A28">
        <w:t xml:space="preserve"> also be considered in relation to trusts and other legal arrangements under </w:t>
      </w:r>
      <w:r w:rsidR="00E945F4">
        <w:t>R.</w:t>
      </w:r>
      <w:r w:rsidRPr="00FD0A28">
        <w:t>25. While such consideration needs to be made considering risk, context</w:t>
      </w:r>
      <w:r w:rsidR="00B768E0">
        <w:t>,</w:t>
      </w:r>
      <w:r w:rsidRPr="00FD0A28">
        <w:t xml:space="preserve"> and materiality of a given country, it would potentially provide for an additional source of information to the default rule under </w:t>
      </w:r>
      <w:r w:rsidR="00E945F4">
        <w:t>R.</w:t>
      </w:r>
      <w:r w:rsidRPr="00FD0A28">
        <w:t xml:space="preserve">25 that beneficial ownership information be collected and maintained by trustees or persons holding an equivalent position in a similar legal arrangement. It could therefore be one of the ways to ensure that competent authorities have </w:t>
      </w:r>
      <w:r>
        <w:t xml:space="preserve">timely </w:t>
      </w:r>
      <w:r w:rsidRPr="00FD0A28">
        <w:t>access to adequate, accurate</w:t>
      </w:r>
      <w:r w:rsidR="00B768E0">
        <w:t>,</w:t>
      </w:r>
      <w:r w:rsidRPr="00FD0A28">
        <w:t xml:space="preserve"> and up-to-date information on the beneficial ownership of trusts and other legal arrangements under </w:t>
      </w:r>
      <w:r w:rsidR="00E945F4">
        <w:t>R.</w:t>
      </w:r>
      <w:r w:rsidRPr="00FD0A28">
        <w:t xml:space="preserve"> 25. </w:t>
      </w:r>
    </w:p>
    <w:p w14:paraId="46A582C2" w14:textId="77777777" w:rsidR="001740FF" w:rsidRPr="00FD0A28" w:rsidRDefault="001740FF" w:rsidP="00A00875">
      <w:pPr>
        <w:pStyle w:val="Para"/>
      </w:pPr>
      <w:r>
        <w:t>Some</w:t>
      </w:r>
      <w:r w:rsidRPr="00FD0A28">
        <w:t xml:space="preserve"> countries may opt to hold one register of beneficial ownership for both legal persons as well as trusts and/or other legal arrangements. This may be the case for countries which do not give legal recognition to trusts under their legislation, although </w:t>
      </w:r>
      <w:r w:rsidR="00B768E0">
        <w:t xml:space="preserve">this is </w:t>
      </w:r>
      <w:r w:rsidRPr="00FD0A28">
        <w:t xml:space="preserve">not always necessarily the case. Some countries may also opt to set up different registers for trusts and other legal arrangements reflecting the different nature of trusts and other legal arrangements. </w:t>
      </w:r>
    </w:p>
    <w:p w14:paraId="56962F9B" w14:textId="77777777" w:rsidR="001740FF" w:rsidRPr="00FD0A28" w:rsidRDefault="001740FF" w:rsidP="001740FF">
      <w:pPr>
        <w:pStyle w:val="Para"/>
        <w:tabs>
          <w:tab w:val="clear" w:pos="680"/>
          <w:tab w:val="num" w:pos="710"/>
        </w:tabs>
        <w:ind w:left="710"/>
      </w:pPr>
      <w:r>
        <w:t>C</w:t>
      </w:r>
      <w:r w:rsidRPr="00FD0A28">
        <w:t xml:space="preserve">ountries </w:t>
      </w:r>
      <w:r>
        <w:t>which opt to maintain registers may</w:t>
      </w:r>
      <w:r w:rsidRPr="00FD0A28">
        <w:t xml:space="preserve"> cover all </w:t>
      </w:r>
      <w:r>
        <w:t xml:space="preserve">express </w:t>
      </w:r>
      <w:r w:rsidRPr="00FD0A28">
        <w:t xml:space="preserve">trusts and </w:t>
      </w:r>
      <w:r>
        <w:t xml:space="preserve">similar </w:t>
      </w:r>
      <w:r w:rsidRPr="00FD0A28">
        <w:t xml:space="preserve">legal arrangements which are administered in their country or for which the trustee or equivalent resides in the country. The registers </w:t>
      </w:r>
      <w:r>
        <w:t>may also consider covering</w:t>
      </w:r>
      <w:r w:rsidRPr="00FD0A28">
        <w:t xml:space="preserve"> foreign trusts and </w:t>
      </w:r>
      <w:r>
        <w:t xml:space="preserve">similar </w:t>
      </w:r>
      <w:r w:rsidRPr="00FD0A28">
        <w:t xml:space="preserve">legal arrangements </w:t>
      </w:r>
      <w:r w:rsidR="00B768E0">
        <w:t>with</w:t>
      </w:r>
      <w:r w:rsidRPr="00FD0A28">
        <w:t xml:space="preserve"> sufficient links with the country</w:t>
      </w:r>
      <w:r>
        <w:t xml:space="preserve">, if the risk assessment </w:t>
      </w:r>
      <w:r w:rsidRPr="00C8048B">
        <w:t xml:space="preserve">has shown major risks that require </w:t>
      </w:r>
      <w:r>
        <w:t>covering these legal arrangements</w:t>
      </w:r>
      <w:r w:rsidRPr="00FD0A28">
        <w:t>.</w:t>
      </w:r>
    </w:p>
    <w:p w14:paraId="5AAD330F" w14:textId="77777777" w:rsidR="001740FF" w:rsidRPr="00FD0A28" w:rsidRDefault="001740FF" w:rsidP="001740FF">
      <w:pPr>
        <w:pStyle w:val="Para"/>
        <w:tabs>
          <w:tab w:val="clear" w:pos="680"/>
          <w:tab w:val="num" w:pos="710"/>
        </w:tabs>
        <w:ind w:left="710"/>
      </w:pPr>
      <w:r w:rsidRPr="00FD0A28">
        <w:t xml:space="preserve">Countries that make use of a public authority or body holding beneficial ownership information should consider the resources and expertise that will be required to maintain the register, and to ensure that the information recorded in the register is adequate, accurate and up-to-date, and can be accessed in a </w:t>
      </w:r>
      <w:r>
        <w:t>timely</w:t>
      </w:r>
      <w:r w:rsidRPr="00FD0A28">
        <w:t xml:space="preserve"> and efficient manner.</w:t>
      </w:r>
    </w:p>
    <w:p w14:paraId="418CB9EA" w14:textId="77777777" w:rsidR="001740FF" w:rsidRPr="00FD0A28" w:rsidRDefault="002C0A92" w:rsidP="001740FF">
      <w:pPr>
        <w:pStyle w:val="Para"/>
        <w:tabs>
          <w:tab w:val="clear" w:pos="680"/>
          <w:tab w:val="num" w:pos="710"/>
        </w:tabs>
        <w:ind w:left="710"/>
      </w:pPr>
      <w:r>
        <w:lastRenderedPageBreak/>
        <w:t xml:space="preserve">Below are some examples of consideration for countries trying to establish a registry. </w:t>
      </w:r>
      <w:r w:rsidR="001740FF" w:rsidRPr="00FD0A28">
        <w:t xml:space="preserve">These are to be read in conjunction with other general considerations covered under the Guidance to </w:t>
      </w:r>
      <w:r w:rsidR="00E945F4">
        <w:t>R.</w:t>
      </w:r>
      <w:r w:rsidR="001740FF" w:rsidRPr="00FD0A28">
        <w:t>24:</w:t>
      </w:r>
    </w:p>
    <w:p w14:paraId="4EC51C53" w14:textId="77777777" w:rsidR="001740FF" w:rsidRDefault="001740FF" w:rsidP="00885103">
      <w:pPr>
        <w:pStyle w:val="BulletedList"/>
        <w:numPr>
          <w:ilvl w:val="0"/>
          <w:numId w:val="10"/>
        </w:numPr>
      </w:pPr>
      <w:r w:rsidRPr="00FD0A28">
        <w:t xml:space="preserve">A good understanding and knowledge of trust principles and trusts law, may be necessary to determine the beneficial owner of a complex trust/legal arrangement structure, as well as </w:t>
      </w:r>
      <w:r w:rsidR="00533E92">
        <w:t xml:space="preserve">a </w:t>
      </w:r>
      <w:r w:rsidRPr="00FD0A28">
        <w:t>good understanding of certain specific nuances of trust law or law governing other legal arrangements, in different countries</w:t>
      </w:r>
      <w:r w:rsidR="00C47B3E">
        <w:t>.</w:t>
      </w:r>
    </w:p>
    <w:p w14:paraId="7ADC7F94" w14:textId="77777777" w:rsidR="00C47B3E" w:rsidRDefault="001740FF" w:rsidP="00885103">
      <w:pPr>
        <w:pStyle w:val="BulletedList"/>
        <w:numPr>
          <w:ilvl w:val="0"/>
          <w:numId w:val="10"/>
        </w:numPr>
      </w:pPr>
      <w:r w:rsidRPr="00FD0A28">
        <w:t xml:space="preserve">Similarly, understanding the flexibility and different types of trusts/legal arrangements might be instrumental </w:t>
      </w:r>
      <w:r w:rsidR="008C5A1D">
        <w:t>to being able to determine</w:t>
      </w:r>
      <w:r w:rsidRPr="00FD0A28">
        <w:t xml:space="preserve"> whether any other person </w:t>
      </w:r>
      <w:r w:rsidR="00533E92">
        <w:t xml:space="preserve">is </w:t>
      </w:r>
      <w:r w:rsidRPr="00FD0A28">
        <w:t>exercising effective control over the trust</w:t>
      </w:r>
      <w:r w:rsidR="003509CD">
        <w:t>.</w:t>
      </w:r>
    </w:p>
    <w:p w14:paraId="78175263" w14:textId="77777777" w:rsidR="001740FF" w:rsidRPr="00FD0A28" w:rsidRDefault="001740FF" w:rsidP="00C47B3E">
      <w:pPr>
        <w:pStyle w:val="Para"/>
      </w:pPr>
      <w:r w:rsidRPr="00FD0A28">
        <w:t xml:space="preserve">A mechanism that provides for a public authority or body holding beneficial </w:t>
      </w:r>
      <w:r w:rsidRPr="00A00875">
        <w:t>ownership information could include some or all of the following features. These are to be read in conjunction</w:t>
      </w:r>
      <w:r w:rsidRPr="00FD0A28">
        <w:t xml:space="preserve"> with other general considerations covered under the Guidance to </w:t>
      </w:r>
      <w:r w:rsidR="00E945F4">
        <w:t>R.</w:t>
      </w:r>
      <w:r w:rsidRPr="00FD0A28">
        <w:t>24:</w:t>
      </w:r>
    </w:p>
    <w:p w14:paraId="31C0A976" w14:textId="77777777" w:rsidR="001740FF" w:rsidRDefault="001740FF" w:rsidP="00885103">
      <w:pPr>
        <w:pStyle w:val="BulletedList"/>
        <w:numPr>
          <w:ilvl w:val="0"/>
          <w:numId w:val="12"/>
        </w:numPr>
      </w:pPr>
      <w:r w:rsidRPr="00FD0A28">
        <w:t>Trustees or equivalent are required to provide beneficial ownership information to the authority/body administering the beneficial ownership register of trusts.</w:t>
      </w:r>
    </w:p>
    <w:p w14:paraId="4731D355" w14:textId="77777777" w:rsidR="001740FF" w:rsidRPr="00FD0A28" w:rsidRDefault="001740FF" w:rsidP="00885103">
      <w:pPr>
        <w:pStyle w:val="BulletedList"/>
        <w:numPr>
          <w:ilvl w:val="0"/>
          <w:numId w:val="12"/>
        </w:numPr>
      </w:pPr>
      <w:r w:rsidRPr="00FD0A28">
        <w:t>Trustees or equivalent are required to update beneficial ownership information regularly and within a reasonable</w:t>
      </w:r>
      <w:r w:rsidR="007665CA">
        <w:t xml:space="preserve"> period</w:t>
      </w:r>
      <w:r w:rsidRPr="00FD0A28">
        <w:t xml:space="preserve"> following any change. </w:t>
      </w:r>
    </w:p>
    <w:p w14:paraId="5D8537F2" w14:textId="77777777" w:rsidR="001740FF" w:rsidRPr="00FD0A28" w:rsidRDefault="001740FF" w:rsidP="00885103">
      <w:pPr>
        <w:pStyle w:val="BulletedList"/>
        <w:numPr>
          <w:ilvl w:val="0"/>
          <w:numId w:val="12"/>
        </w:numPr>
      </w:pPr>
      <w:r w:rsidRPr="00FD0A28">
        <w:t>Trustees or equivalent may, on a risk-based approach, be required to make a declaration (e.g.,</w:t>
      </w:r>
      <w:r w:rsidR="006B58DF">
        <w:t xml:space="preserve"> </w:t>
      </w:r>
      <w:r w:rsidRPr="00FD0A28">
        <w:t xml:space="preserve">sworn statement) regarding the beneficial owner and the ownership structure. This could include the provision of copies of documentation for the verification of identity. </w:t>
      </w:r>
    </w:p>
    <w:p w14:paraId="5AC03779" w14:textId="77777777" w:rsidR="001740FF" w:rsidRPr="00FD0A28" w:rsidRDefault="001740FF" w:rsidP="00885103">
      <w:pPr>
        <w:pStyle w:val="BulletedList"/>
        <w:numPr>
          <w:ilvl w:val="0"/>
          <w:numId w:val="12"/>
        </w:numPr>
      </w:pPr>
      <w:r w:rsidRPr="00FD0A28">
        <w:t>The public authority or body holding beneficial ownership information is required, on a risk-based approach, to establish different mechanisms to verify the identity of the beneficial owners and that they indeed satisfy the criteria for being regarded as beneficial owners</w:t>
      </w:r>
      <w:r>
        <w:t>.</w:t>
      </w:r>
      <w:r w:rsidRPr="00FD0A28">
        <w:t xml:space="preserve"> </w:t>
      </w:r>
    </w:p>
    <w:p w14:paraId="1B1D00C4" w14:textId="77777777" w:rsidR="001740FF" w:rsidRPr="00FD0A28" w:rsidRDefault="001740FF" w:rsidP="00885103">
      <w:pPr>
        <w:pStyle w:val="BulletedList"/>
        <w:numPr>
          <w:ilvl w:val="0"/>
          <w:numId w:val="12"/>
        </w:numPr>
      </w:pPr>
      <w:r w:rsidRPr="00FD0A28">
        <w:t>The public authority or body holding beneficial ownership information is empowered to impose, and effectively applies, proportionate and dissuasive sanctions on trustees or equivalent that fail to provide beneficial ownership information</w:t>
      </w:r>
      <w:r w:rsidR="002F503F">
        <w:t>.</w:t>
      </w:r>
    </w:p>
    <w:p w14:paraId="42B31095" w14:textId="77777777" w:rsidR="001740FF" w:rsidRPr="00FD0A28" w:rsidRDefault="001740FF" w:rsidP="00885103">
      <w:pPr>
        <w:pStyle w:val="BulletedList"/>
        <w:numPr>
          <w:ilvl w:val="0"/>
          <w:numId w:val="12"/>
        </w:numPr>
      </w:pPr>
      <w:r w:rsidRPr="00FD0A28">
        <w:t>The provision of incorrect information is subject to proportionate and dissuasive administrative and/or criminal sanctions. A director of a trust company or any other person entrusted with the management and administration thereof could also be held personally liable</w:t>
      </w:r>
      <w:r w:rsidR="002F503F">
        <w:t>.</w:t>
      </w:r>
    </w:p>
    <w:p w14:paraId="6A8FF280" w14:textId="77777777" w:rsidR="001740FF" w:rsidRPr="00FD0A28" w:rsidRDefault="001740FF" w:rsidP="00885103">
      <w:pPr>
        <w:pStyle w:val="BulletedList"/>
        <w:numPr>
          <w:ilvl w:val="0"/>
          <w:numId w:val="12"/>
        </w:numPr>
      </w:pPr>
      <w:r w:rsidRPr="00FD0A28">
        <w:t xml:space="preserve">The public authority or body holding beneficial ownership information regularly applies such sanctions when obligations are breached or reports breaches to the appropriate authority, including the filing of any suspicious reports to the appropriate authority if this is deemed necessary in the context. </w:t>
      </w:r>
    </w:p>
    <w:p w14:paraId="2F57188E" w14:textId="77777777" w:rsidR="001740FF" w:rsidRPr="00FD0A28" w:rsidRDefault="001740FF" w:rsidP="00885103">
      <w:pPr>
        <w:pStyle w:val="BulletedList"/>
        <w:numPr>
          <w:ilvl w:val="0"/>
          <w:numId w:val="12"/>
        </w:numPr>
      </w:pPr>
      <w:r w:rsidRPr="00FD0A28">
        <w:t>The public authority or body holding beneficial ownership information takes a proactive role, including checking information against other sources (such as data collected through regulatory submissions by professional regulated trustees, asset, tax or national identity registries) through risk-based verification, use of technologies etc., to identify anomalies or inconsistencies and reduce the risk of fraud on supporting documents or improper disclosure.</w:t>
      </w:r>
    </w:p>
    <w:p w14:paraId="3B55C352" w14:textId="77777777" w:rsidR="001740FF" w:rsidRDefault="001740FF" w:rsidP="00885103">
      <w:pPr>
        <w:pStyle w:val="BulletedList"/>
        <w:numPr>
          <w:ilvl w:val="0"/>
          <w:numId w:val="12"/>
        </w:numPr>
      </w:pPr>
      <w:r>
        <w:t>FIs</w:t>
      </w:r>
      <w:r w:rsidRPr="00FD0A28">
        <w:t xml:space="preserve"> and DNFBPs and, if appropriate competent authorities</w:t>
      </w:r>
      <w:r w:rsidR="00CD5042">
        <w:t>,</w:t>
      </w:r>
      <w:r w:rsidRPr="00FD0A28">
        <w:t xml:space="preserve"> </w:t>
      </w:r>
      <w:r w:rsidR="00352264">
        <w:t>identify</w:t>
      </w:r>
      <w:r w:rsidRPr="00FD0A28">
        <w:t xml:space="preserve"> any </w:t>
      </w:r>
      <w:r w:rsidR="00352264">
        <w:t>inaccuracies</w:t>
      </w:r>
      <w:r w:rsidR="00351A76" w:rsidRPr="00FD0A28">
        <w:t xml:space="preserve"> </w:t>
      </w:r>
      <w:r w:rsidRPr="00FD0A28">
        <w:t xml:space="preserve">they find between the beneficial ownership information held by the public authority or </w:t>
      </w:r>
      <w:r w:rsidR="00CD5042">
        <w:t xml:space="preserve">other </w:t>
      </w:r>
      <w:r w:rsidRPr="00FD0A28">
        <w:t xml:space="preserve">body and the beneficial ownership information available </w:t>
      </w:r>
      <w:r w:rsidRPr="00FD0A28">
        <w:lastRenderedPageBreak/>
        <w:t xml:space="preserve">to them. The public authority or body holding beneficial ownership information and/or other relevant authority takes appropriate actions to investigate </w:t>
      </w:r>
      <w:r w:rsidR="00352264">
        <w:t>these</w:t>
      </w:r>
      <w:r w:rsidRPr="00FD0A28">
        <w:t xml:space="preserve"> </w:t>
      </w:r>
      <w:r w:rsidR="00351A76">
        <w:t>inaccuracies</w:t>
      </w:r>
      <w:r w:rsidR="00351A76" w:rsidRPr="00FD0A28">
        <w:t xml:space="preserve"> </w:t>
      </w:r>
      <w:r w:rsidRPr="00FD0A28">
        <w:t xml:space="preserve">and to correct the information within a reasonable timeframe, as may be required. </w:t>
      </w:r>
    </w:p>
    <w:p w14:paraId="6433026B" w14:textId="77777777" w:rsidR="003A6712" w:rsidRPr="00B76CC8" w:rsidRDefault="003A6712" w:rsidP="003A6712">
      <w:pPr>
        <w:pStyle w:val="Heading2"/>
        <w:numPr>
          <w:ilvl w:val="1"/>
          <w:numId w:val="4"/>
        </w:numPr>
        <w:jc w:val="both"/>
      </w:pPr>
      <w:bookmarkStart w:id="45" w:name="_Toc149217178"/>
      <w:r w:rsidRPr="00B76CC8">
        <w:t>Other competent authorities</w:t>
      </w:r>
      <w:bookmarkEnd w:id="44"/>
      <w:bookmarkEnd w:id="45"/>
      <w:r w:rsidRPr="00B76CC8">
        <w:t xml:space="preserve"> </w:t>
      </w:r>
    </w:p>
    <w:p w14:paraId="13F0B6B7" w14:textId="77777777" w:rsidR="00586B2F" w:rsidRDefault="00586B2F" w:rsidP="00C47B3E">
      <w:pPr>
        <w:pStyle w:val="Para"/>
      </w:pPr>
      <w:r>
        <w:t xml:space="preserve">To enhance </w:t>
      </w:r>
      <w:r w:rsidR="00A32CA3">
        <w:t>information</w:t>
      </w:r>
      <w:r>
        <w:t xml:space="preserve"> adequacy</w:t>
      </w:r>
      <w:r w:rsidR="002F503F">
        <w:t>,</w:t>
      </w:r>
      <w:r>
        <w:t xml:space="preserve"> accuracy and timeliness, countries may consider whether information on trusts is collected for </w:t>
      </w:r>
      <w:r w:rsidR="002F503F">
        <w:t xml:space="preserve">purposes </w:t>
      </w:r>
      <w:r>
        <w:t>other</w:t>
      </w:r>
      <w:r w:rsidR="00E26629">
        <w:t xml:space="preserve"> than AML/CFT</w:t>
      </w:r>
      <w:r>
        <w:t xml:space="preserve">. Countries may also consider approaches to ensure competent authorities have timely access to this information. </w:t>
      </w:r>
    </w:p>
    <w:p w14:paraId="149E36EA" w14:textId="77777777" w:rsidR="004D40F2" w:rsidRDefault="00B76CC8" w:rsidP="00262899">
      <w:pPr>
        <w:pStyle w:val="Para"/>
      </w:pPr>
      <w:r>
        <w:t xml:space="preserve">In many countries, tax authorities are the most extensive source of information on the </w:t>
      </w:r>
      <w:r w:rsidRPr="00A00875">
        <w:t>ownership</w:t>
      </w:r>
      <w:r>
        <w:t xml:space="preserve"> and control of trusts</w:t>
      </w:r>
      <w:r w:rsidR="00317325">
        <w:t>. However</w:t>
      </w:r>
      <w:r w:rsidR="006B58DF">
        <w:t xml:space="preserve">, </w:t>
      </w:r>
      <w:r>
        <w:t xml:space="preserve">they </w:t>
      </w:r>
      <w:r w:rsidR="004E5C97">
        <w:t xml:space="preserve">may </w:t>
      </w:r>
      <w:r>
        <w:t xml:space="preserve">only hold information if the trust generates tax liabilities in the jurisdiction. Typically, if a trust receives income above a specific threshold, the trustee must file a tax return with the tax authorities on behalf of the trust. Such a tax return may include information regarding the trustee, the settlor, and each beneficiary with taxable income from the trust in that taxation period. However, not all countries require information on </w:t>
      </w:r>
      <w:r w:rsidR="00F15D20">
        <w:t xml:space="preserve">settlors or </w:t>
      </w:r>
      <w:r>
        <w:t xml:space="preserve">beneficiaries to be included. </w:t>
      </w:r>
    </w:p>
    <w:p w14:paraId="14AD7DD6" w14:textId="77777777" w:rsidR="003A6712" w:rsidRDefault="00B76CC8" w:rsidP="00262899">
      <w:pPr>
        <w:pStyle w:val="Para"/>
      </w:pPr>
      <w:r>
        <w:t>Some countries have agreements for the automatic exchange of tax information which may provide for greater exchange of information on trusts between different jurisdictions. In particular,</w:t>
      </w:r>
      <w:r w:rsidR="006B58DF">
        <w:t xml:space="preserve"> </w:t>
      </w:r>
      <w:r>
        <w:t xml:space="preserve">through this system, banks will report certain beneficial ownership information for tax purposes on an annual basis to a domestic tax authority on a trust that holds an account with the bank and where the beneficiary is resident of a foreign jurisdiction. The domestic tax authority will </w:t>
      </w:r>
      <w:r w:rsidRPr="00612092">
        <w:t>automatically</w:t>
      </w:r>
      <w:r>
        <w:t xml:space="preserve"> pass on that information to the foreign jurisdiction’s tax authority. Whether the foreign jurisdiction’s tax authority can pass on this information to other competent authorities must be examined in light of the confidentiality and data safeguards included in the legal instrument providing automatic</w:t>
      </w:r>
      <w:r w:rsidR="004B4B11">
        <w:t xml:space="preserve"> tax information</w:t>
      </w:r>
      <w:r>
        <w:t xml:space="preserve"> exchange</w:t>
      </w:r>
      <w:r w:rsidR="0078670A">
        <w:t>.</w:t>
      </w:r>
    </w:p>
    <w:p w14:paraId="5EC13183" w14:textId="77777777" w:rsidR="003A6712" w:rsidRPr="00DB7D4D" w:rsidRDefault="003A6712" w:rsidP="003A6712">
      <w:pPr>
        <w:pStyle w:val="Heading2"/>
        <w:numPr>
          <w:ilvl w:val="1"/>
          <w:numId w:val="4"/>
        </w:numPr>
        <w:jc w:val="both"/>
      </w:pPr>
      <w:bookmarkStart w:id="46" w:name="_Toc145618546"/>
      <w:bookmarkStart w:id="47" w:name="_Toc149217179"/>
      <w:r w:rsidRPr="00DB7D4D">
        <w:t>Other agents or service providers</w:t>
      </w:r>
      <w:bookmarkEnd w:id="46"/>
      <w:r w:rsidRPr="00DB7D4D">
        <w:t xml:space="preserve"> </w:t>
      </w:r>
      <w:r w:rsidR="00B76CC8">
        <w:t>to the trust</w:t>
      </w:r>
      <w:bookmarkEnd w:id="47"/>
    </w:p>
    <w:p w14:paraId="34956654" w14:textId="77777777" w:rsidR="001740FF" w:rsidRPr="001740FF" w:rsidRDefault="001740FF" w:rsidP="00A00875">
      <w:pPr>
        <w:pStyle w:val="Para"/>
      </w:pPr>
      <w:r>
        <w:t xml:space="preserve">R.10 and R.22 require all FIs (including investment advisors and managers) and DNFBPs (including lawyers, notaries, other independent legal </w:t>
      </w:r>
      <w:r w:rsidRPr="001740FF">
        <w:t>professionals</w:t>
      </w:r>
      <w:r>
        <w:t xml:space="preserve"> and accountants) to be subject to CDD and record-keeping requirements where they enter a business relationship or conduct an occasional transaction for a legal arrangement. R.10 and R.22 also apply these requirements to TCSPs when they are acting as (or arranging for another person to act as) a trustee of an express trust or performing the equivalent function for another form of legal arrangement. </w:t>
      </w:r>
    </w:p>
    <w:p w14:paraId="62836208" w14:textId="77777777" w:rsidR="003A6712" w:rsidRPr="00FD0A28" w:rsidRDefault="001740FF" w:rsidP="00BE40ED">
      <w:pPr>
        <w:pStyle w:val="Para"/>
      </w:pPr>
      <w:r>
        <w:t xml:space="preserve">The effect of these requirements is that FIs and DNFBPs that are subject to effective monitoring or supervision and an effective sanctioning regime should hold adequate, accurate, and up to date basic and </w:t>
      </w:r>
      <w:r w:rsidR="004E5C97">
        <w:t xml:space="preserve">beneficial ownership </w:t>
      </w:r>
      <w:r>
        <w:t xml:space="preserve">information for legal arrangements on an ongoing basis and understand the ownership and control structure of the legal arrangement, along with its business and risk profile. </w:t>
      </w:r>
    </w:p>
    <w:p w14:paraId="6554AB9D" w14:textId="77777777" w:rsidR="003A6712" w:rsidRPr="00E51736" w:rsidRDefault="003A6712" w:rsidP="003A6712">
      <w:pPr>
        <w:pStyle w:val="Heading2"/>
        <w:numPr>
          <w:ilvl w:val="1"/>
          <w:numId w:val="4"/>
        </w:numPr>
        <w:jc w:val="both"/>
      </w:pPr>
      <w:bookmarkStart w:id="48" w:name="_Toc145618547"/>
      <w:bookmarkStart w:id="49" w:name="_Toc149217180"/>
      <w:r w:rsidRPr="00E51736">
        <w:t>Access to information</w:t>
      </w:r>
      <w:bookmarkEnd w:id="48"/>
      <w:bookmarkEnd w:id="49"/>
    </w:p>
    <w:p w14:paraId="7C4896A6" w14:textId="77777777" w:rsidR="003A6712" w:rsidRPr="00FD0A28" w:rsidRDefault="003A6712" w:rsidP="003A6712">
      <w:pPr>
        <w:pStyle w:val="Heading3"/>
        <w:numPr>
          <w:ilvl w:val="2"/>
          <w:numId w:val="4"/>
        </w:numPr>
        <w:jc w:val="both"/>
      </w:pPr>
      <w:r w:rsidRPr="00FD0A28">
        <w:t>Access by competent authorities</w:t>
      </w:r>
    </w:p>
    <w:p w14:paraId="07C85EBC" w14:textId="77777777" w:rsidR="003A6712" w:rsidRPr="00FD0A28" w:rsidRDefault="003A6712" w:rsidP="00A00875">
      <w:pPr>
        <w:pStyle w:val="Para"/>
      </w:pPr>
      <w:r w:rsidRPr="00FD0A28">
        <w:t>Competent authorities, particularly LEAs and FIUs, should have the powers</w:t>
      </w:r>
      <w:r w:rsidR="00B33F65">
        <w:t xml:space="preserve"> </w:t>
      </w:r>
      <w:r w:rsidR="00F15D20">
        <w:t>to access in a timely manner the</w:t>
      </w:r>
      <w:r w:rsidRPr="00FD0A28">
        <w:t xml:space="preserve"> information held by trustees, persons holding equivalent </w:t>
      </w:r>
      <w:r w:rsidRPr="00FD0A28">
        <w:lastRenderedPageBreak/>
        <w:t xml:space="preserve">positions in similar legal arrangements, and other parties, including information held by </w:t>
      </w:r>
      <w:r>
        <w:t>FIs</w:t>
      </w:r>
      <w:r w:rsidRPr="00FD0A28">
        <w:t xml:space="preserve"> and DNFBPs on:</w:t>
      </w:r>
    </w:p>
    <w:p w14:paraId="2CE712A9" w14:textId="77777777" w:rsidR="003A6712" w:rsidRPr="00FD0A28" w:rsidRDefault="003A6712" w:rsidP="00885103">
      <w:pPr>
        <w:pStyle w:val="BulletedList"/>
        <w:numPr>
          <w:ilvl w:val="0"/>
          <w:numId w:val="15"/>
        </w:numPr>
      </w:pPr>
      <w:r w:rsidRPr="00FD0A28">
        <w:t xml:space="preserve">the basic and beneficial ownership of the legal arrangement; </w:t>
      </w:r>
      <w:r w:rsidR="00A6041A">
        <w:t>and</w:t>
      </w:r>
    </w:p>
    <w:p w14:paraId="37C3B85C" w14:textId="77777777" w:rsidR="003A6712" w:rsidRPr="00FD0A28" w:rsidRDefault="003A6712" w:rsidP="00885103">
      <w:pPr>
        <w:pStyle w:val="BulletedList"/>
        <w:numPr>
          <w:ilvl w:val="0"/>
          <w:numId w:val="15"/>
        </w:numPr>
      </w:pPr>
      <w:r w:rsidRPr="00FD0A28">
        <w:t>any assets held or managed by the financial institution or DNFBP, in relation to any trust</w:t>
      </w:r>
      <w:r>
        <w:t>s</w:t>
      </w:r>
      <w:r w:rsidRPr="00FD0A28">
        <w:t xml:space="preserve"> or </w:t>
      </w:r>
      <w:r w:rsidR="00F15D20">
        <w:t>similar legal arrangements</w:t>
      </w:r>
      <w:r w:rsidRPr="00FD0A28">
        <w:t xml:space="preserve"> with which they have a business relationship, or for which they undertake an occasional transaction.</w:t>
      </w:r>
    </w:p>
    <w:p w14:paraId="6A846887" w14:textId="77777777" w:rsidR="003A6712" w:rsidRPr="00A00875" w:rsidRDefault="00767851" w:rsidP="00A00875">
      <w:pPr>
        <w:pStyle w:val="Para"/>
      </w:pPr>
      <w:r>
        <w:t>C</w:t>
      </w:r>
      <w:r w:rsidRPr="00A00875">
        <w:t>ountries should consider using different sources of information as necessary</w:t>
      </w:r>
      <w:r w:rsidRPr="00FD0A28">
        <w:t xml:space="preserve"> </w:t>
      </w:r>
      <w:r w:rsidR="003A6712" w:rsidRPr="00FD0A28">
        <w:t xml:space="preserve">to ensure that adequate, accurate and up-to-date information on the basic and beneficial ownership of the trusts or other similar legal arrangements, trustees and trust assets, is </w:t>
      </w:r>
      <w:r w:rsidR="003A6712" w:rsidRPr="00A00875">
        <w:t>accessible efficiently and in a timely manner by competent authorities, on the basis of risk, context and materiality</w:t>
      </w:r>
      <w:r w:rsidR="00A860F1">
        <w:t>.</w:t>
      </w:r>
      <w:r w:rsidR="003A6712" w:rsidRPr="00A00875">
        <w:t xml:space="preserve"> </w:t>
      </w:r>
      <w:r w:rsidR="003A6712" w:rsidRPr="00240A30">
        <w:rPr>
          <w:rStyle w:val="FootnoteReference"/>
        </w:rPr>
        <w:footnoteReference w:id="23"/>
      </w:r>
    </w:p>
    <w:p w14:paraId="74AAEB57" w14:textId="77777777" w:rsidR="003A6712" w:rsidRPr="00FD0A28" w:rsidRDefault="00767851" w:rsidP="00A00875">
      <w:pPr>
        <w:pStyle w:val="Para"/>
      </w:pPr>
      <w:r>
        <w:t>Countries</w:t>
      </w:r>
      <w:r w:rsidR="003A6712" w:rsidRPr="00A00875">
        <w:t xml:space="preserve"> should ensure that a competent authority, such as LEAs and FIUs, has sufficient powers</w:t>
      </w:r>
      <w:r w:rsidR="003A6712" w:rsidRPr="00FD0A28">
        <w:t xml:space="preserve"> to obtain </w:t>
      </w:r>
      <w:r w:rsidR="00540250">
        <w:t xml:space="preserve">accurate and up-to-date </w:t>
      </w:r>
      <w:r w:rsidR="003A6712" w:rsidRPr="00FD0A28">
        <w:t>information, either directly from the party, from an independent third party or a government body.  This may include:</w:t>
      </w:r>
    </w:p>
    <w:p w14:paraId="5C1362D0" w14:textId="77777777" w:rsidR="003A6712" w:rsidRPr="00FD0A28" w:rsidRDefault="003A6712" w:rsidP="00885103">
      <w:pPr>
        <w:widowControl/>
        <w:numPr>
          <w:ilvl w:val="0"/>
          <w:numId w:val="11"/>
        </w:numPr>
        <w:spacing w:after="160" w:line="259" w:lineRule="auto"/>
        <w:ind w:left="1560" w:right="680"/>
      </w:pPr>
      <w:r w:rsidRPr="00FD0A28">
        <w:t xml:space="preserve">allowing an LEA or FIU to compel a party to provide them with </w:t>
      </w:r>
      <w:r>
        <w:t xml:space="preserve">relevant </w:t>
      </w:r>
      <w:r w:rsidRPr="00FD0A28">
        <w:t>information or documents (that is, on an individual basis)</w:t>
      </w:r>
      <w:r w:rsidR="005C5935">
        <w:t>; and</w:t>
      </w:r>
    </w:p>
    <w:p w14:paraId="6EC2A94A" w14:textId="77777777" w:rsidR="003A6712" w:rsidRPr="00FD0A28" w:rsidRDefault="003A6712" w:rsidP="00885103">
      <w:pPr>
        <w:widowControl/>
        <w:numPr>
          <w:ilvl w:val="0"/>
          <w:numId w:val="11"/>
        </w:numPr>
        <w:spacing w:after="160" w:line="259" w:lineRule="auto"/>
        <w:ind w:left="1560" w:right="680"/>
      </w:pPr>
      <w:r w:rsidRPr="00FD0A28">
        <w:t>requiring a party to an arrangement or other independent party to notify a government body about certain information (for example, changes in ownership).</w:t>
      </w:r>
    </w:p>
    <w:p w14:paraId="3CE57305" w14:textId="77777777" w:rsidR="003A6712" w:rsidRPr="00A00875" w:rsidRDefault="00767851" w:rsidP="00A00875">
      <w:pPr>
        <w:pStyle w:val="Para"/>
      </w:pPr>
      <w:r>
        <w:t xml:space="preserve">Countries </w:t>
      </w:r>
      <w:r w:rsidR="003A6712" w:rsidRPr="00FD0A28">
        <w:t xml:space="preserve">should ensure that </w:t>
      </w:r>
      <w:r w:rsidR="003A6712">
        <w:t xml:space="preserve">trustees are not prevented by law from providing competent authorities </w:t>
      </w:r>
      <w:r w:rsidR="003A6712" w:rsidRPr="00A00875">
        <w:t>with relevant information relating to the trust.</w:t>
      </w:r>
    </w:p>
    <w:p w14:paraId="497A5976" w14:textId="77777777" w:rsidR="003A6712" w:rsidRPr="00FD0A28" w:rsidRDefault="003A6712" w:rsidP="00A00875">
      <w:pPr>
        <w:pStyle w:val="Para"/>
      </w:pPr>
      <w:r w:rsidRPr="00A00875">
        <w:t>In cases where countries decide to use additional sources of information other than trustees or persons holding an equivalent position in a similar legal arrangement (e.g. public authorities</w:t>
      </w:r>
      <w:r w:rsidRPr="00FD0A28">
        <w:t xml:space="preserve"> or bodies such as registries, or other persons and entities), competent authorities should have sufficient knowledge of which public authority or body or other person/entity holds adequate, accurate, and up-to-date basic and beneficial ownership information of the trusts or other similar legal arrangements, trustees and trust assets, and how to access that information. </w:t>
      </w:r>
      <w:r w:rsidRPr="00F32DB9">
        <w:t>When necessary, countries should consider the use of additional sources of information other than trustees or persons holding an equivalent position in a similar legal arrangement (</w:t>
      </w:r>
      <w:r w:rsidR="00D22FEC" w:rsidRPr="00F32DB9">
        <w:t>e.g.,</w:t>
      </w:r>
      <w:r w:rsidRPr="00F32DB9">
        <w:t xml:space="preserve"> public authorities or bodies such as registries, or other persons and entities), and </w:t>
      </w:r>
      <w:r w:rsidR="00D22FEC">
        <w:t>ensure</w:t>
      </w:r>
      <w:r w:rsidR="00D22FEC" w:rsidRPr="00F32DB9">
        <w:t xml:space="preserve"> </w:t>
      </w:r>
      <w:r w:rsidRPr="00F32DB9">
        <w:t xml:space="preserve">competent authorities </w:t>
      </w:r>
      <w:r w:rsidR="00D22FEC">
        <w:t>are aware and able to access these sources</w:t>
      </w:r>
      <w:r>
        <w:t>.</w:t>
      </w:r>
    </w:p>
    <w:p w14:paraId="75C6EB1E" w14:textId="77777777" w:rsidR="003A6712" w:rsidRPr="00FD0A28" w:rsidRDefault="003A6712" w:rsidP="00A00875">
      <w:pPr>
        <w:pStyle w:val="Para"/>
      </w:pPr>
      <w:r w:rsidRPr="00FD0A28">
        <w:t>The parties that hold relevant information should understand their disclosure obligations, fully cooperate with competent authorities, and provide the information as quickly as possible and within a timeframe which allows authorities to carry out their functions. In implementing this requirement, countries should ensure that there is a clear legal or regulatory framework that authorises such access and disclosure and protects, where necessary, the source(s) of information from liability for authorised disclosures.</w:t>
      </w:r>
    </w:p>
    <w:p w14:paraId="6B36C346" w14:textId="77777777" w:rsidR="003A6712" w:rsidRPr="00FD0A28" w:rsidRDefault="003A6712" w:rsidP="003A6712">
      <w:pPr>
        <w:pStyle w:val="Heading3"/>
        <w:numPr>
          <w:ilvl w:val="2"/>
          <w:numId w:val="4"/>
        </w:numPr>
        <w:jc w:val="both"/>
      </w:pPr>
      <w:r w:rsidRPr="00FD0A28">
        <w:t xml:space="preserve">Access by FIs and </w:t>
      </w:r>
      <w:r w:rsidRPr="00747CB0">
        <w:t>DNFBPs</w:t>
      </w:r>
      <w:r w:rsidRPr="00FD0A28">
        <w:t xml:space="preserve"> </w:t>
      </w:r>
    </w:p>
    <w:p w14:paraId="2EEE4B7E" w14:textId="77777777" w:rsidR="003A6712" w:rsidRPr="00A00875" w:rsidRDefault="003A6712" w:rsidP="00A00875">
      <w:pPr>
        <w:pStyle w:val="Para"/>
      </w:pPr>
      <w:r w:rsidRPr="00FD0A28">
        <w:t xml:space="preserve">Countries should consider measures to facilitate access </w:t>
      </w:r>
      <w:r w:rsidR="00767851" w:rsidRPr="00FD0A28">
        <w:t xml:space="preserve">by </w:t>
      </w:r>
      <w:r w:rsidR="00767851">
        <w:t>FIs</w:t>
      </w:r>
      <w:r w:rsidR="00767851" w:rsidRPr="00FD0A28">
        <w:t xml:space="preserve"> and DNFBPs </w:t>
      </w:r>
      <w:r w:rsidRPr="00FD0A28">
        <w:t>to information that is held on trusts or other similar legal arrangements by other authorities, persons and entities (</w:t>
      </w:r>
      <w:r w:rsidR="002B657E" w:rsidRPr="00FD0A28">
        <w:t>e.g.,</w:t>
      </w:r>
      <w:r w:rsidRPr="00FD0A28">
        <w:t xml:space="preserve"> registries) to facilitate compliance with CDD obligations, and </w:t>
      </w:r>
      <w:r w:rsidRPr="00A00875">
        <w:t xml:space="preserve">support supplementary verification efforts, such as discrepancy reporting, subject to adequate data protection and privacy safeguards. </w:t>
      </w:r>
    </w:p>
    <w:p w14:paraId="06D2EC61" w14:textId="77777777" w:rsidR="003A6712" w:rsidRPr="00FD0A28" w:rsidRDefault="00767851" w:rsidP="00A00875">
      <w:pPr>
        <w:pStyle w:val="Para"/>
      </w:pPr>
      <w:r>
        <w:lastRenderedPageBreak/>
        <w:t>Countries should take steps to ensure that</w:t>
      </w:r>
      <w:r w:rsidR="003A6712" w:rsidRPr="00A00875">
        <w:t xml:space="preserve"> trustees or persons holding equivalent positions in similar legal arrangements must disclose their status to financial institutions and DNFBPs when, in their function, forming a business relationship or carrying out an occasional transaction above the threshold with the FI or DNFBPs. They</w:t>
      </w:r>
      <w:r w:rsidR="003A6712">
        <w:t xml:space="preserve"> should also not be prevented</w:t>
      </w:r>
      <w:r w:rsidR="004E5C97">
        <w:t xml:space="preserve"> by law</w:t>
      </w:r>
      <w:r w:rsidR="003A6712">
        <w:t xml:space="preserve"> from providing financial institutions and DNFBPs, upon request, with information on the beneficial ownership and the assets of the trust or legal arrangement to be held or managed under the terms of the business relationship.</w:t>
      </w:r>
    </w:p>
    <w:p w14:paraId="64C30347" w14:textId="77777777" w:rsidR="003A6712" w:rsidRPr="00FD0A28" w:rsidRDefault="003A6712" w:rsidP="003A6712">
      <w:pPr>
        <w:pStyle w:val="Heading3"/>
        <w:numPr>
          <w:ilvl w:val="2"/>
          <w:numId w:val="4"/>
        </w:numPr>
        <w:jc w:val="both"/>
      </w:pPr>
      <w:r w:rsidRPr="00FD0A28">
        <w:t>Cost of access</w:t>
      </w:r>
    </w:p>
    <w:p w14:paraId="2861A3EB" w14:textId="77777777" w:rsidR="003A6712" w:rsidRDefault="003A6712" w:rsidP="00A00875">
      <w:pPr>
        <w:pStyle w:val="Para"/>
      </w:pPr>
      <w:r>
        <w:t xml:space="preserve">Where countries choose to hold beneficial ownership information of trusts or other similar </w:t>
      </w:r>
      <w:r w:rsidRPr="00A00875">
        <w:t>arrangements</w:t>
      </w:r>
      <w:r>
        <w:t xml:space="preserve"> in a regist</w:t>
      </w:r>
      <w:r w:rsidR="002B657E">
        <w:t>ry</w:t>
      </w:r>
      <w:r w:rsidR="00AD7055">
        <w:t>,</w:t>
      </w:r>
      <w:r>
        <w:rPr>
          <w:rStyle w:val="FootnoteReference"/>
        </w:rPr>
        <w:footnoteReference w:id="24"/>
      </w:r>
      <w:r>
        <w:t xml:space="preserve"> they may choose to make access to this information conditional </w:t>
      </w:r>
      <w:r w:rsidR="00767851">
        <w:t xml:space="preserve">on </w:t>
      </w:r>
      <w:r>
        <w:t>the payment of a fee. C</w:t>
      </w:r>
      <w:r w:rsidRPr="00FD0A28">
        <w:t xml:space="preserve">ountries should </w:t>
      </w:r>
      <w:r w:rsidR="00767851">
        <w:t xml:space="preserve">seek to </w:t>
      </w:r>
      <w:r w:rsidRPr="00FD0A28">
        <w:t xml:space="preserve">ensure that such a </w:t>
      </w:r>
      <w:r>
        <w:t xml:space="preserve">requirement does </w:t>
      </w:r>
      <w:r w:rsidRPr="00FD0A28">
        <w:t>not create unnecessary delays or obstacles to efficient and timely access to basic and beneficial ownership information</w:t>
      </w:r>
      <w:r>
        <w:t xml:space="preserve"> for competent authorities</w:t>
      </w:r>
      <w:r w:rsidRPr="00FD0A28">
        <w:t xml:space="preserve">. </w:t>
      </w:r>
      <w:r>
        <w:t>As a g</w:t>
      </w:r>
      <w:r w:rsidRPr="00FD0A28">
        <w:t>ood practice</w:t>
      </w:r>
      <w:r>
        <w:t>, countries should</w:t>
      </w:r>
      <w:r w:rsidRPr="00FD0A28">
        <w:t xml:space="preserve"> </w:t>
      </w:r>
      <w:r w:rsidR="00767851">
        <w:t>consider ensuring</w:t>
      </w:r>
      <w:r w:rsidR="00767851" w:rsidRPr="00FD0A28">
        <w:t xml:space="preserve"> </w:t>
      </w:r>
      <w:r w:rsidRPr="00FD0A28">
        <w:t xml:space="preserve">that competent authorities can access this information free </w:t>
      </w:r>
      <w:r>
        <w:t>of charge</w:t>
      </w:r>
      <w:r w:rsidRPr="00FD0A28">
        <w:t xml:space="preserve">. For </w:t>
      </w:r>
      <w:r>
        <w:t>FIs and DNFBPs</w:t>
      </w:r>
      <w:r w:rsidRPr="00FD0A28">
        <w:t xml:space="preserve">, to help foster the objective of making information sufficiently available, </w:t>
      </w:r>
      <w:r>
        <w:t>access fees should be</w:t>
      </w:r>
      <w:r w:rsidRPr="00FD0A28">
        <w:t xml:space="preserve"> proportionate </w:t>
      </w:r>
      <w:r>
        <w:t xml:space="preserve">and </w:t>
      </w:r>
      <w:r w:rsidRPr="00FD0A28">
        <w:t>not exceed the administrative costs</w:t>
      </w:r>
      <w:r>
        <w:t xml:space="preserve"> for providing such access</w:t>
      </w:r>
      <w:r w:rsidRPr="00FD0A28">
        <w:t>, including costs of maintenance and future developments of the relevant source of information.</w:t>
      </w:r>
    </w:p>
    <w:p w14:paraId="44DA4224" w14:textId="77777777" w:rsidR="003A6712" w:rsidRPr="008E6DD4" w:rsidRDefault="003A6712" w:rsidP="003A6712">
      <w:pPr>
        <w:pStyle w:val="Heading1"/>
        <w:numPr>
          <w:ilvl w:val="0"/>
          <w:numId w:val="4"/>
        </w:numPr>
        <w:ind w:right="680"/>
        <w:jc w:val="both"/>
        <w:rPr>
          <w:lang w:val="en-US"/>
        </w:rPr>
      </w:pPr>
      <w:bookmarkStart w:id="50" w:name="_Toc145618548"/>
      <w:bookmarkStart w:id="51" w:name="_Toc149217181"/>
      <w:r w:rsidRPr="00FD0A28">
        <w:t>Sanctions</w:t>
      </w:r>
      <w:bookmarkEnd w:id="50"/>
      <w:bookmarkEnd w:id="51"/>
    </w:p>
    <w:p w14:paraId="04283BC5" w14:textId="77777777" w:rsidR="00767851" w:rsidRDefault="00767851" w:rsidP="00BD75D6">
      <w:pPr>
        <w:pStyle w:val="Para"/>
        <w:numPr>
          <w:ilvl w:val="0"/>
          <w:numId w:val="24"/>
        </w:numPr>
      </w:pPr>
      <w:bookmarkStart w:id="52" w:name="_Hlk145611107"/>
      <w:r w:rsidRPr="00FD0A28">
        <w:t>C</w:t>
      </w:r>
      <w:r>
        <w:t xml:space="preserve">ountries should ensure that any requirements to comply with </w:t>
      </w:r>
      <w:r w:rsidR="00E945F4">
        <w:t>R.</w:t>
      </w:r>
      <w:r>
        <w:t xml:space="preserve">25 and its Interpretative Note are clear and unambiguous. This includes that trustees or equivalent persons are either legally liable for any failure to perform the duties relevant to meeting the obligations in paragraphs 1, 4, 8 and 9 of INR.25, or that there are </w:t>
      </w:r>
      <w:r w:rsidRPr="00FD0A28">
        <w:t xml:space="preserve">effective, proportionate and dissuasive sanctions </w:t>
      </w:r>
      <w:r>
        <w:t xml:space="preserve">for failing to comply. Any sanctions imposed for failing to grant timely access to information regarding the trust to competent authorities should be effective, </w:t>
      </w:r>
      <w:r w:rsidR="003F3747">
        <w:t>proportionate,</w:t>
      </w:r>
      <w:r>
        <w:t xml:space="preserve"> and dissuasive</w:t>
      </w:r>
      <w:r w:rsidRPr="00FD0A28">
        <w:t>.</w:t>
      </w:r>
    </w:p>
    <w:p w14:paraId="16899C22" w14:textId="77777777" w:rsidR="00767851" w:rsidRPr="00A00875" w:rsidRDefault="00767851" w:rsidP="00BD75D6">
      <w:pPr>
        <w:pStyle w:val="Para"/>
        <w:numPr>
          <w:ilvl w:val="0"/>
          <w:numId w:val="24"/>
        </w:numPr>
      </w:pPr>
      <w:r>
        <w:t>T</w:t>
      </w:r>
      <w:r w:rsidRPr="00FD0A28">
        <w:t xml:space="preserve">he obligations of trustees and persons holding equivalent positions in a similar legal arrangement should </w:t>
      </w:r>
      <w:r w:rsidRPr="00A00875">
        <w:t>be clearly laid out in written and publicly available rules for legal certainty. Such rules should directly provide for the sanctions for breaches of the obligations corresponding to the requirements of paragraphs 1, 4, 8 and 9 of R</w:t>
      </w:r>
      <w:r>
        <w:t>.</w:t>
      </w:r>
      <w:r w:rsidRPr="00A00875">
        <w:t xml:space="preserve">25. </w:t>
      </w:r>
      <w:r>
        <w:t>It may also be appropriate to impose sanctions on other entities that the country relies on for adequate, accurate and up-to-date basic and beneficial ownership information.</w:t>
      </w:r>
    </w:p>
    <w:bookmarkEnd w:id="52"/>
    <w:p w14:paraId="3837743B" w14:textId="77777777" w:rsidR="003A6712" w:rsidRDefault="003A6712" w:rsidP="00A00875">
      <w:pPr>
        <w:pStyle w:val="Para"/>
      </w:pPr>
      <w:r w:rsidRPr="00A00875">
        <w:t>Where countries decide to require a public authority or body to hold information on the beneficial ownership of trusts or other similar arrangements, they should consider granting this authority or body sufficient powers to ensure that the information they hold is adequate, accurate and up-to-date, including the power to apply effective, proportionate and dissuasive sanctions. Countries may also consider providing for sanctioning powers to those competent authorities (such as law enforcement authorities and financial intelligence units) that are empowered to obtain timely access to information held by trustees, persons holding equivalent positions in similar legal arrangements and</w:t>
      </w:r>
      <w:r w:rsidRPr="00FD0A28">
        <w:t xml:space="preserve"> other parties (e.g., </w:t>
      </w:r>
      <w:r>
        <w:t>FIs</w:t>
      </w:r>
      <w:r w:rsidRPr="00FD0A28">
        <w:t xml:space="preserve"> and DNFBPs).</w:t>
      </w:r>
      <w:r>
        <w:t xml:space="preserve"> </w:t>
      </w:r>
    </w:p>
    <w:p w14:paraId="4272D7E5" w14:textId="77777777" w:rsidR="003A6712" w:rsidRPr="00A00875" w:rsidRDefault="003A6712" w:rsidP="00A00875">
      <w:pPr>
        <w:pStyle w:val="Para"/>
      </w:pPr>
      <w:r>
        <w:t xml:space="preserve">Where countries choose to rely on other sources of </w:t>
      </w:r>
      <w:r w:rsidR="004E5C97">
        <w:t xml:space="preserve">beneficial ownership </w:t>
      </w:r>
      <w:r>
        <w:t xml:space="preserve">information, they should ensure that there are effective, proportionate and dissuasive sanctions for failure to provide </w:t>
      </w:r>
      <w:r w:rsidRPr="00A00875">
        <w:t xml:space="preserve">competent authorities with timely access to adequate, </w:t>
      </w:r>
      <w:r w:rsidRPr="00A00875">
        <w:lastRenderedPageBreak/>
        <w:t xml:space="preserve">accurate and up-to-date information on the basic and beneficial ownership information of the trusts or other similar legal arrangements, trustees and trust assets in an efficient and timely manner.  </w:t>
      </w:r>
    </w:p>
    <w:p w14:paraId="4AD14B93" w14:textId="77777777" w:rsidR="003A6712" w:rsidRPr="00A00875" w:rsidRDefault="001F290C" w:rsidP="00A00875">
      <w:pPr>
        <w:pStyle w:val="Para"/>
      </w:pPr>
      <w:bookmarkStart w:id="53" w:name="_Hlk135143651"/>
      <w:r>
        <w:t>S</w:t>
      </w:r>
      <w:r w:rsidR="003A6712" w:rsidRPr="00A00875">
        <w:t xml:space="preserve">anctions </w:t>
      </w:r>
      <w:r w:rsidR="009410F8">
        <w:t>should</w:t>
      </w:r>
      <w:r w:rsidR="009410F8" w:rsidRPr="00A00875">
        <w:t xml:space="preserve"> </w:t>
      </w:r>
      <w:r w:rsidR="003A6712" w:rsidRPr="00A00875">
        <w:t xml:space="preserve">apply to both natural </w:t>
      </w:r>
      <w:r w:rsidR="00CC0558">
        <w:t>and</w:t>
      </w:r>
      <w:r w:rsidR="003A6712" w:rsidRPr="00A00875">
        <w:t xml:space="preserve"> legal persons that </w:t>
      </w:r>
      <w:r>
        <w:t>fail to comply with the requirements of R.25</w:t>
      </w:r>
      <w:r w:rsidR="003A6712" w:rsidRPr="00A00875">
        <w:t xml:space="preserve">. Subject to their legal traditions, countries could also attribute liabilities and </w:t>
      </w:r>
      <w:r w:rsidR="00B930A8" w:rsidRPr="00A00875">
        <w:t>impos</w:t>
      </w:r>
      <w:r w:rsidR="00B930A8">
        <w:t>e</w:t>
      </w:r>
      <w:r w:rsidR="00B930A8" w:rsidRPr="00A00875">
        <w:t xml:space="preserve"> </w:t>
      </w:r>
      <w:r w:rsidR="003A6712" w:rsidRPr="00A00875">
        <w:t xml:space="preserve">sanctions </w:t>
      </w:r>
      <w:r>
        <w:t>on</w:t>
      </w:r>
      <w:r w:rsidR="003A6712" w:rsidRPr="00A00875">
        <w:t xml:space="preserve"> legal persons, where </w:t>
      </w:r>
      <w:r>
        <w:t>breaches</w:t>
      </w:r>
      <w:r w:rsidR="003A6712" w:rsidRPr="00A00875">
        <w:t xml:space="preserve"> </w:t>
      </w:r>
      <w:r>
        <w:t>of</w:t>
      </w:r>
      <w:r w:rsidR="003A6712" w:rsidRPr="00A00875">
        <w:t xml:space="preserve"> obligations </w:t>
      </w:r>
      <w:r>
        <w:t>are</w:t>
      </w:r>
      <w:r w:rsidR="003A6712" w:rsidRPr="00A00875">
        <w:t xml:space="preserve"> caused by the intentional or negligent behaviour of the legal person’s senior management, or by persons authorized to act on its behalf within the exercise of their professional functions. In cases of breaches of requirements by employees, liability could also be attributed to the senior management having responsibility over such employees. </w:t>
      </w:r>
    </w:p>
    <w:p w14:paraId="5A4D2902" w14:textId="77777777" w:rsidR="003A6712" w:rsidRPr="00FD0A28" w:rsidRDefault="003A6712" w:rsidP="001F290C">
      <w:pPr>
        <w:pStyle w:val="Para"/>
      </w:pPr>
      <w:r w:rsidRPr="00A00875">
        <w:t>The range of sanctions for breaches of obligation should be proportionate and dissuasive.</w:t>
      </w:r>
      <w:r w:rsidRPr="006B6643">
        <w:t xml:space="preserve"> </w:t>
      </w:r>
      <w:r w:rsidRPr="001F290C">
        <w:t>These</w:t>
      </w:r>
      <w:r w:rsidRPr="006B6643">
        <w:t xml:space="preserve"> can either be</w:t>
      </w:r>
      <w:r w:rsidRPr="00FD0A28">
        <w:t xml:space="preserve"> administrative, civil, or criminal in nature. </w:t>
      </w:r>
      <w:r>
        <w:t>S</w:t>
      </w:r>
      <w:r w:rsidRPr="00FD0A28">
        <w:t>anctions</w:t>
      </w:r>
      <w:r w:rsidRPr="00FD0A28" w:rsidDel="00D377DF">
        <w:t xml:space="preserve"> </w:t>
      </w:r>
      <w:r>
        <w:t>can</w:t>
      </w:r>
      <w:r w:rsidRPr="00FD0A28">
        <w:t xml:space="preserve"> be both financial and non-</w:t>
      </w:r>
      <w:r w:rsidR="003A2A46" w:rsidRPr="00FD0A28">
        <w:t>financial.</w:t>
      </w:r>
      <w:r w:rsidRPr="00FD0A28">
        <w:t xml:space="preserve"> The range of sanctions should be sufficiently broad to capture all responsibilities and possible case scenarios from minor infractions to serious breaches. The sanctions should also be consistent with the </w:t>
      </w:r>
      <w:r>
        <w:t>seriousness</w:t>
      </w:r>
      <w:r w:rsidRPr="00FD0A28">
        <w:t xml:space="preserve"> of the breach, and </w:t>
      </w:r>
      <w:proofErr w:type="gramStart"/>
      <w:r w:rsidRPr="00FD0A28">
        <w:t>take into account</w:t>
      </w:r>
      <w:proofErr w:type="gramEnd"/>
      <w:r w:rsidRPr="00FD0A28">
        <w:t xml:space="preserve"> other relevant factors (e.g., systemic and prolonged nature of the breaches). Adequate resources and procedures should be in place that would allow the authority/authorities to ensure effective detection and sanctioning of breaches. </w:t>
      </w:r>
    </w:p>
    <w:p w14:paraId="5D2B0D10" w14:textId="77777777" w:rsidR="003A6712" w:rsidRPr="00946D0F" w:rsidRDefault="003A6712" w:rsidP="003A6712">
      <w:pPr>
        <w:pStyle w:val="Heading1"/>
        <w:numPr>
          <w:ilvl w:val="0"/>
          <w:numId w:val="4"/>
        </w:numPr>
        <w:ind w:right="680"/>
        <w:jc w:val="both"/>
        <w:rPr>
          <w:lang w:val="en-US"/>
        </w:rPr>
      </w:pPr>
      <w:bookmarkStart w:id="54" w:name="_Toc145618549"/>
      <w:bookmarkStart w:id="55" w:name="_Toc149217182"/>
      <w:r w:rsidRPr="00FD0A28">
        <w:t>Applicability of relevant regulatory regimes</w:t>
      </w:r>
      <w:r>
        <w:t xml:space="preserve"> and other issues</w:t>
      </w:r>
      <w:bookmarkEnd w:id="54"/>
      <w:bookmarkEnd w:id="55"/>
    </w:p>
    <w:p w14:paraId="57A108C3" w14:textId="77777777" w:rsidR="003A6712" w:rsidRPr="00FD0A28" w:rsidRDefault="003A6712" w:rsidP="003A6712">
      <w:pPr>
        <w:pStyle w:val="Heading2"/>
        <w:numPr>
          <w:ilvl w:val="1"/>
          <w:numId w:val="4"/>
        </w:numPr>
        <w:jc w:val="both"/>
        <w:rPr>
          <w:lang w:val="en-US"/>
        </w:rPr>
      </w:pPr>
      <w:bookmarkStart w:id="56" w:name="_Toc145618550"/>
      <w:bookmarkStart w:id="57" w:name="_Toc149217183"/>
      <w:r w:rsidRPr="00FD0A28">
        <w:rPr>
          <w:lang w:val="en-US"/>
        </w:rPr>
        <w:t xml:space="preserve">Relevance of </w:t>
      </w:r>
      <w:r>
        <w:rPr>
          <w:lang w:val="en-US"/>
        </w:rPr>
        <w:t>case</w:t>
      </w:r>
      <w:r w:rsidRPr="00FD0A28">
        <w:rPr>
          <w:lang w:val="en-US"/>
        </w:rPr>
        <w:t xml:space="preserve"> law precedents in meeting the obligations on trustees.</w:t>
      </w:r>
      <w:bookmarkEnd w:id="56"/>
      <w:bookmarkEnd w:id="57"/>
      <w:r w:rsidRPr="00FD0A28">
        <w:rPr>
          <w:lang w:val="en-US"/>
        </w:rPr>
        <w:t xml:space="preserve"> </w:t>
      </w:r>
    </w:p>
    <w:p w14:paraId="57D9F489" w14:textId="77777777" w:rsidR="003A6712" w:rsidRPr="00A00875" w:rsidRDefault="003A6712" w:rsidP="001F290C">
      <w:pPr>
        <w:pStyle w:val="Para"/>
      </w:pPr>
      <w:r w:rsidRPr="00FD0A28">
        <w:t xml:space="preserve">The obligations </w:t>
      </w:r>
      <w:r w:rsidR="00317325">
        <w:t>of</w:t>
      </w:r>
      <w:r w:rsidRPr="00FD0A28">
        <w:t xml:space="preserve"> trustees of express trusts</w:t>
      </w:r>
      <w:r>
        <w:t xml:space="preserve"> or </w:t>
      </w:r>
      <w:r w:rsidRPr="00FD0A28">
        <w:t xml:space="preserve">persons holding </w:t>
      </w:r>
      <w:r w:rsidRPr="003A2A46">
        <w:t>equivalent</w:t>
      </w:r>
      <w:r w:rsidRPr="00A00875">
        <w:t xml:space="preserve"> positions in similar legal arrangements may derive from case law. </w:t>
      </w:r>
    </w:p>
    <w:p w14:paraId="5F87017C" w14:textId="77777777" w:rsidR="003A6712" w:rsidRPr="00FD0A28" w:rsidRDefault="003A6712" w:rsidP="003A2A46">
      <w:pPr>
        <w:pStyle w:val="Para"/>
      </w:pPr>
      <w:r w:rsidRPr="00A00875">
        <w:t>The case precedents</w:t>
      </w:r>
      <w:r w:rsidRPr="00FD0A28">
        <w:t xml:space="preserve"> through which obligations are cast on trustees </w:t>
      </w:r>
      <w:r>
        <w:t xml:space="preserve">in common law systems </w:t>
      </w:r>
      <w:r w:rsidRPr="00FD0A28">
        <w:t xml:space="preserve">must have the nature of binding precedent. The judgements of the court or judicial authority which has pronounced law </w:t>
      </w:r>
      <w:r w:rsidRPr="003A2A46">
        <w:t>must</w:t>
      </w:r>
      <w:r w:rsidRPr="00FD0A28">
        <w:t xml:space="preserve"> have authority in the nature of </w:t>
      </w:r>
      <w:r w:rsidRPr="00FD0A28">
        <w:rPr>
          <w:i/>
          <w:iCs/>
        </w:rPr>
        <w:t xml:space="preserve">stare decisis, </w:t>
      </w:r>
      <w:r w:rsidRPr="00FD0A28">
        <w:t xml:space="preserve">such that it must be obligatory for subordinate judicial authorities to follow the decision of the superior authority. </w:t>
      </w:r>
    </w:p>
    <w:p w14:paraId="5950EA75" w14:textId="77777777" w:rsidR="003A6712" w:rsidRPr="00D57ABF" w:rsidRDefault="003A6712" w:rsidP="003A6712">
      <w:pPr>
        <w:pStyle w:val="Heading2"/>
        <w:numPr>
          <w:ilvl w:val="1"/>
          <w:numId w:val="4"/>
        </w:numPr>
        <w:jc w:val="both"/>
        <w:rPr>
          <w:lang w:val="en-US"/>
        </w:rPr>
      </w:pPr>
      <w:bookmarkStart w:id="58" w:name="_Toc145618551"/>
      <w:bookmarkStart w:id="59" w:name="_Toc149217184"/>
      <w:r w:rsidRPr="00D57ABF">
        <w:rPr>
          <w:lang w:val="en-US"/>
        </w:rPr>
        <w:t>Implementation of the standards by service providers and trustees</w:t>
      </w:r>
      <w:bookmarkEnd w:id="58"/>
      <w:bookmarkEnd w:id="59"/>
      <w:r w:rsidRPr="00D57ABF">
        <w:rPr>
          <w:lang w:val="en-US"/>
        </w:rPr>
        <w:t xml:space="preserve"> </w:t>
      </w:r>
    </w:p>
    <w:p w14:paraId="103F6060" w14:textId="77777777" w:rsidR="003A6712" w:rsidRPr="00861902" w:rsidRDefault="003A6712" w:rsidP="00A00875">
      <w:pPr>
        <w:pStyle w:val="Para"/>
        <w:rPr>
          <w:rFonts w:eastAsiaTheme="minorHAnsi"/>
        </w:rPr>
      </w:pPr>
      <w:r w:rsidRPr="00861902">
        <w:t xml:space="preserve">The purpose of this section is to provide guidance to </w:t>
      </w:r>
      <w:r w:rsidR="009410F8">
        <w:t xml:space="preserve">service providers and </w:t>
      </w:r>
      <w:r w:rsidRPr="00861902">
        <w:t xml:space="preserve">trustees on </w:t>
      </w:r>
      <w:r w:rsidRPr="00A00875">
        <w:t>obtaining</w:t>
      </w:r>
      <w:r w:rsidRPr="00861902">
        <w:t xml:space="preserve"> beneficial ownership information for express trusts and similar legal arrangements. </w:t>
      </w:r>
    </w:p>
    <w:bookmarkEnd w:id="53"/>
    <w:p w14:paraId="6A60FC7E" w14:textId="77777777" w:rsidR="00F16E5B" w:rsidRPr="00AC7D58" w:rsidRDefault="00F16E5B" w:rsidP="00F16E5B">
      <w:pPr>
        <w:pStyle w:val="Heading3"/>
        <w:numPr>
          <w:ilvl w:val="2"/>
          <w:numId w:val="4"/>
        </w:numPr>
        <w:jc w:val="both"/>
        <w:rPr>
          <w:lang w:val="en-US"/>
        </w:rPr>
      </w:pPr>
      <w:r w:rsidRPr="00AC7D58">
        <w:rPr>
          <w:lang w:val="en-US"/>
        </w:rPr>
        <w:t>Trust and company service providers (TCSPs)</w:t>
      </w:r>
      <w:r w:rsidRPr="001C7BF2">
        <w:rPr>
          <w:rStyle w:val="FootnoteReference"/>
          <w:rFonts w:ascii="Calibri" w:hAnsi="Calibri"/>
          <w:color w:val="auto"/>
          <w:lang w:val="en-US"/>
        </w:rPr>
        <w:footnoteReference w:id="25"/>
      </w:r>
      <w:r w:rsidRPr="001C7BF2">
        <w:rPr>
          <w:color w:val="auto"/>
          <w:lang w:val="en-US"/>
        </w:rPr>
        <w:t xml:space="preserve"> </w:t>
      </w:r>
    </w:p>
    <w:p w14:paraId="25C361C4" w14:textId="77777777" w:rsidR="00F16E5B" w:rsidRPr="00583023" w:rsidRDefault="00F16E5B" w:rsidP="00F16E5B">
      <w:pPr>
        <w:pStyle w:val="Para"/>
      </w:pPr>
      <w:r w:rsidRPr="00583023">
        <w:t>TCSPs play an important role in the establishment and administrati</w:t>
      </w:r>
      <w:r w:rsidR="007C489D">
        <w:t>on</w:t>
      </w:r>
      <w:r w:rsidRPr="00583023">
        <w:t xml:space="preserve"> of legal arrangements. In many co</w:t>
      </w:r>
      <w:r w:rsidRPr="00A00875">
        <w:t>u</w:t>
      </w:r>
      <w:r w:rsidRPr="00583023">
        <w:t>ntries, trust and company services (such as company formation and management) are offered by a range of different types of entities, including regulated professionals, such as lawyers</w:t>
      </w:r>
      <w:r w:rsidR="00BE3242">
        <w:rPr>
          <w:vertAlign w:val="superscript"/>
        </w:rPr>
        <w:t xml:space="preserve"> </w:t>
      </w:r>
      <w:r w:rsidRPr="00583023">
        <w:t>and accountants</w:t>
      </w:r>
      <w:r>
        <w:t>.</w:t>
      </w:r>
      <w:r w:rsidRPr="00583023">
        <w:rPr>
          <w:vertAlign w:val="superscript"/>
        </w:rPr>
        <w:footnoteReference w:id="26"/>
      </w:r>
      <w:r w:rsidRPr="00583023">
        <w:t xml:space="preserve"> Although lawyers and accountants may be subject to regulation of their primary profession or business in some countries, the provision of </w:t>
      </w:r>
      <w:r w:rsidR="00767851">
        <w:t xml:space="preserve">trust and </w:t>
      </w:r>
      <w:r w:rsidRPr="00583023">
        <w:t xml:space="preserve">company services is one area where criminals may seek to </w:t>
      </w:r>
      <w:r w:rsidR="002B657E">
        <w:t xml:space="preserve">abuse these professions </w:t>
      </w:r>
      <w:r w:rsidR="007C489D">
        <w:t>to</w:t>
      </w:r>
      <w:r w:rsidRPr="00583023">
        <w:t xml:space="preserve"> </w:t>
      </w:r>
      <w:r w:rsidR="007C489D">
        <w:t>conceal</w:t>
      </w:r>
      <w:r w:rsidR="007C489D" w:rsidRPr="00583023">
        <w:t xml:space="preserve"> </w:t>
      </w:r>
      <w:r w:rsidRPr="00583023">
        <w:t>beneficial ownership</w:t>
      </w:r>
      <w:r w:rsidR="002B657E">
        <w:t xml:space="preserve"> information</w:t>
      </w:r>
      <w:r w:rsidRPr="00583023">
        <w:t xml:space="preserve">, warranting specific </w:t>
      </w:r>
      <w:r w:rsidRPr="00583023">
        <w:lastRenderedPageBreak/>
        <w:t>regulatory oversight.</w:t>
      </w:r>
      <w:r w:rsidRPr="002C6CBC">
        <w:rPr>
          <w:vertAlign w:val="superscript"/>
        </w:rPr>
        <w:footnoteReference w:id="27"/>
      </w:r>
      <w:r w:rsidRPr="002C6CBC">
        <w:rPr>
          <w:vertAlign w:val="superscript"/>
        </w:rPr>
        <w:t xml:space="preserve"> </w:t>
      </w:r>
      <w:r w:rsidR="000B6B18">
        <w:t>In</w:t>
      </w:r>
      <w:r w:rsidRPr="00583023">
        <w:t xml:space="preserve"> many countries, trust and company services are also offered by other companies that specialise in providing trust and company services, but which may not be regulated in relation to their profession or business. If there is no specific AML/CFT regulation and a designated supervisor, such specialists may be left unregulated.</w:t>
      </w:r>
      <w:r w:rsidR="00B33F65">
        <w:t xml:space="preserve"> </w:t>
      </w:r>
      <w:r w:rsidR="00767851">
        <w:t>Accordingly,</w:t>
      </w:r>
      <w:r w:rsidR="00B33F65">
        <w:t xml:space="preserve"> this may increase the AML/CFT risk related to these providers.</w:t>
      </w:r>
    </w:p>
    <w:p w14:paraId="538A5692" w14:textId="77777777" w:rsidR="00F16E5B" w:rsidRDefault="00F16E5B" w:rsidP="00F16E5B">
      <w:pPr>
        <w:pStyle w:val="Para"/>
        <w:rPr>
          <w:rFonts w:ascii="Cambria" w:hAnsi="Cambria"/>
        </w:rPr>
      </w:pPr>
      <w:r w:rsidRPr="00583023">
        <w:t>With regard to legal arrangements</w:t>
      </w:r>
      <w:r>
        <w:t>,</w:t>
      </w:r>
      <w:r w:rsidRPr="00583023">
        <w:t xml:space="preserve"> TCSP</w:t>
      </w:r>
      <w:r w:rsidR="002B657E">
        <w:t>s</w:t>
      </w:r>
      <w:r w:rsidRPr="00583023">
        <w:t xml:space="preserve"> usually assist in the establishment of </w:t>
      </w:r>
      <w:r>
        <w:t>those</w:t>
      </w:r>
      <w:r w:rsidRPr="00583023">
        <w:t xml:space="preserve"> </w:t>
      </w:r>
      <w:r w:rsidRPr="00A00875">
        <w:t>arrangements</w:t>
      </w:r>
      <w:r w:rsidRPr="00583023">
        <w:t xml:space="preserve"> and act as trustees or are holding equivalent positions in similar legal arrangements. In their capacity as trustees or persons holding equivalent positions of these legal arrangements, TCSPs often represent these legal arrangements in their dealings with other </w:t>
      </w:r>
      <w:r>
        <w:t>FIs</w:t>
      </w:r>
      <w:r w:rsidRPr="00583023">
        <w:t xml:space="preserve"> and</w:t>
      </w:r>
      <w:r w:rsidRPr="00264A7B">
        <w:t xml:space="preserve"> DNFBPs that are providing for example banking or audit services to these types of customer</w:t>
      </w:r>
      <w:r w:rsidR="003D5DC5">
        <w:t>s</w:t>
      </w:r>
      <w:r w:rsidRPr="005C483C">
        <w:rPr>
          <w:rFonts w:ascii="Cambria" w:hAnsi="Cambria"/>
        </w:rPr>
        <w:t>.</w:t>
      </w:r>
      <w:r>
        <w:rPr>
          <w:rStyle w:val="FootnoteReference"/>
          <w:rFonts w:ascii="Cambria" w:hAnsi="Cambria"/>
        </w:rPr>
        <w:footnoteReference w:id="28"/>
      </w:r>
    </w:p>
    <w:p w14:paraId="7D280BFB" w14:textId="77777777" w:rsidR="00F16E5B" w:rsidRPr="00583023" w:rsidRDefault="00F16E5B" w:rsidP="00F16E5B">
      <w:pPr>
        <w:pStyle w:val="Para"/>
      </w:pPr>
      <w:r w:rsidRPr="00583023">
        <w:t xml:space="preserve">Whenever TCSPs are establishing or administering the legal arrangement or are providing a trustee or of a trust or are holding equivalent positions in similar legal arrangements, they are </w:t>
      </w:r>
      <w:r w:rsidRPr="00A00875">
        <w:t>required</w:t>
      </w:r>
      <w:r w:rsidRPr="00583023">
        <w:t xml:space="preserve"> </w:t>
      </w:r>
      <w:r>
        <w:t xml:space="preserve">under R.10 </w:t>
      </w:r>
      <w:r w:rsidRPr="00583023">
        <w:t>to understand the general purpose behind the structure and the source of funds in the structure and should be able to identify the beneficial owners.</w:t>
      </w:r>
      <w:r w:rsidRPr="0013243A">
        <w:rPr>
          <w:vertAlign w:val="superscript"/>
        </w:rPr>
        <w:footnoteReference w:id="29"/>
      </w:r>
      <w:r w:rsidRPr="00583023">
        <w:t xml:space="preserve"> </w:t>
      </w:r>
      <w:r w:rsidR="00502DD2">
        <w:t>This is in addition to any obligations they will have under R.25.</w:t>
      </w:r>
    </w:p>
    <w:p w14:paraId="0460A070" w14:textId="77777777" w:rsidR="00F16E5B" w:rsidRPr="00AC7D58" w:rsidRDefault="00F16E5B" w:rsidP="00F16E5B">
      <w:pPr>
        <w:pStyle w:val="Heading3"/>
        <w:numPr>
          <w:ilvl w:val="2"/>
          <w:numId w:val="4"/>
        </w:numPr>
        <w:jc w:val="both"/>
        <w:rPr>
          <w:lang w:val="en-US"/>
        </w:rPr>
      </w:pPr>
      <w:r w:rsidRPr="00AC7D58">
        <w:rPr>
          <w:lang w:val="en-US"/>
        </w:rPr>
        <w:t xml:space="preserve">Issues relating to the legal </w:t>
      </w:r>
      <w:proofErr w:type="gramStart"/>
      <w:r w:rsidRPr="00AC7D58">
        <w:rPr>
          <w:lang w:val="en-US"/>
        </w:rPr>
        <w:t>profession</w:t>
      </w:r>
      <w:proofErr w:type="gramEnd"/>
      <w:r w:rsidRPr="00AC7D58">
        <w:rPr>
          <w:lang w:val="en-US"/>
        </w:rPr>
        <w:t xml:space="preserve"> </w:t>
      </w:r>
    </w:p>
    <w:p w14:paraId="09F78CBB" w14:textId="77777777" w:rsidR="00F16E5B" w:rsidRPr="00A00875" w:rsidRDefault="00F16E5B" w:rsidP="00F16E5B">
      <w:pPr>
        <w:pStyle w:val="Para"/>
      </w:pPr>
      <w:r w:rsidRPr="00583023">
        <w:t xml:space="preserve">Whenever the legal profession plays a role in </w:t>
      </w:r>
      <w:r w:rsidR="002F2B30">
        <w:t>the establishment</w:t>
      </w:r>
      <w:r w:rsidRPr="00583023">
        <w:t xml:space="preserve"> and administrati</w:t>
      </w:r>
      <w:r w:rsidR="002F2B30">
        <w:t>on</w:t>
      </w:r>
      <w:r w:rsidR="004506AC">
        <w:t xml:space="preserve"> </w:t>
      </w:r>
      <w:r w:rsidR="002F2B30">
        <w:t>o</w:t>
      </w:r>
      <w:r w:rsidR="004506AC">
        <w:t>f</w:t>
      </w:r>
      <w:r w:rsidRPr="00583023">
        <w:t xml:space="preserve"> legal arrangements, the above </w:t>
      </w:r>
      <w:r>
        <w:t xml:space="preserve">expectations </w:t>
      </w:r>
      <w:r w:rsidRPr="00583023">
        <w:t>for TCSP</w:t>
      </w:r>
      <w:r w:rsidR="004506AC">
        <w:t>s</w:t>
      </w:r>
      <w:r w:rsidRPr="00583023">
        <w:t xml:space="preserve"> </w:t>
      </w:r>
      <w:r>
        <w:t xml:space="preserve">would apply </w:t>
      </w:r>
      <w:r w:rsidR="004506AC">
        <w:t>to</w:t>
      </w:r>
      <w:r w:rsidR="004506AC" w:rsidRPr="00583023">
        <w:t xml:space="preserve"> </w:t>
      </w:r>
      <w:r w:rsidRPr="00583023">
        <w:t>the legal profession. Since the legal profession often act</w:t>
      </w:r>
      <w:r w:rsidR="00317325">
        <w:t>s</w:t>
      </w:r>
      <w:r w:rsidRPr="00583023">
        <w:t xml:space="preserve"> as trustees, nominees, or both</w:t>
      </w:r>
      <w:r w:rsidR="00AD7055">
        <w:t>,</w:t>
      </w:r>
      <w:r w:rsidRPr="0013243A">
        <w:rPr>
          <w:vertAlign w:val="superscript"/>
        </w:rPr>
        <w:footnoteReference w:id="30"/>
      </w:r>
      <w:r w:rsidRPr="00583023">
        <w:t xml:space="preserve"> practical issues relating to </w:t>
      </w:r>
      <w:r w:rsidRPr="00A00875">
        <w:t>legal professional privilege can arise when lawyers have AML/CFT obligations. Indeed, the right of a client to obtain legal representation and advice, be candid with their legal adviser and not fear later disclosure of those discussions to their prejudice is an important feature of the legal profession.</w:t>
      </w:r>
      <w:r w:rsidRPr="00240A30">
        <w:rPr>
          <w:vertAlign w:val="superscript"/>
        </w:rPr>
        <w:footnoteReference w:id="31"/>
      </w:r>
      <w:r w:rsidRPr="00A00875">
        <w:t xml:space="preserve"> </w:t>
      </w:r>
    </w:p>
    <w:p w14:paraId="78DEA391" w14:textId="77777777" w:rsidR="00F16E5B" w:rsidRPr="00A00875" w:rsidRDefault="00F16E5B" w:rsidP="00F16E5B">
      <w:pPr>
        <w:pStyle w:val="Para"/>
      </w:pPr>
      <w:r w:rsidRPr="00A00875">
        <w:t>The scope of legal professional privilege and legal professional secrecy is often contained in constitutional law or is recognised by common law and is tied to fundamental rights laid down in treaty or other international obligations</w:t>
      </w:r>
      <w:r w:rsidRPr="00240A30">
        <w:rPr>
          <w:vertAlign w:val="superscript"/>
        </w:rPr>
        <w:footnoteReference w:id="32"/>
      </w:r>
      <w:r w:rsidRPr="00240A30">
        <w:rPr>
          <w:vertAlign w:val="superscript"/>
        </w:rPr>
        <w:t xml:space="preserve"> </w:t>
      </w:r>
      <w:r w:rsidR="001C7BF2" w:rsidRPr="00A00875">
        <w:t>and in some federal systems, of each state or province within the country. In addition, the scope of legal professional privilege and legal professional secrecy, and the associated obligations, may also vary across different types of legal professionals within a country and the types of services being offered.</w:t>
      </w:r>
    </w:p>
    <w:p w14:paraId="1035F661" w14:textId="77777777" w:rsidR="00F16E5B" w:rsidRPr="00A00875" w:rsidRDefault="00F16E5B" w:rsidP="00F16E5B">
      <w:pPr>
        <w:pStyle w:val="Para"/>
      </w:pPr>
      <w:r w:rsidRPr="00A00875">
        <w:t>However, a frequent obstacle to accessing information about some trusts and similar legal arrangements is the use of legal professional privilege and professional secrecy to refuse to divulge information relevant to the ownership and control of trust or other similar legal arrangements.</w:t>
      </w:r>
      <w:r w:rsidRPr="00240A30">
        <w:rPr>
          <w:vertAlign w:val="superscript"/>
        </w:rPr>
        <w:footnoteReference w:id="33"/>
      </w:r>
    </w:p>
    <w:p w14:paraId="01398EBB" w14:textId="77777777" w:rsidR="00F16E5B" w:rsidRPr="00A00875" w:rsidRDefault="00F16E5B" w:rsidP="00F16E5B">
      <w:pPr>
        <w:pStyle w:val="Para"/>
      </w:pPr>
      <w:r w:rsidRPr="00A00875">
        <w:t>This is appropriate when such claims are made correctly and in accordance with the law</w:t>
      </w:r>
      <w:r w:rsidR="003C4CEB">
        <w:t>, and where this is tied specifically to legal advice</w:t>
      </w:r>
      <w:r w:rsidRPr="00A00875">
        <w:t xml:space="preserve">. However, occasionally extremely wide claims of privilege are made that exceed the generally understood provisions of the </w:t>
      </w:r>
      <w:r w:rsidRPr="00A00875">
        <w:lastRenderedPageBreak/>
        <w:t>protections within the relevant country. To help address these issues, competent authorities and professional bodies should work to ensure that there is a clear and shared understanding of the scope of legal professional privilege and legal professional secrecy in their own country.</w:t>
      </w:r>
      <w:r w:rsidRPr="00240A30">
        <w:rPr>
          <w:vertAlign w:val="superscript"/>
        </w:rPr>
        <w:footnoteReference w:id="34"/>
      </w:r>
    </w:p>
    <w:p w14:paraId="182544D9" w14:textId="77777777" w:rsidR="00F16E5B" w:rsidRPr="00583023" w:rsidRDefault="00F16E5B" w:rsidP="00F16E5B">
      <w:pPr>
        <w:pStyle w:val="Para"/>
      </w:pPr>
      <w:r w:rsidRPr="00A00875">
        <w:t xml:space="preserve">In particular, countries should </w:t>
      </w:r>
      <w:r w:rsidR="00767851">
        <w:t xml:space="preserve">seek to </w:t>
      </w:r>
      <w:r w:rsidRPr="00A00875">
        <w:t>ensure that there is a clear understanding of what is, and what is not covered to ensure that investigations involving suspected trusts or other similar legal arrangements are not inappropriately impeded. In addition, countries should be aware that in cases where a legal profession</w:t>
      </w:r>
      <w:r w:rsidR="00502DD2">
        <w:t>al</w:t>
      </w:r>
      <w:r w:rsidRPr="00A00875">
        <w:t xml:space="preserve"> or a legal entity controlled by a legal profession</w:t>
      </w:r>
      <w:r w:rsidR="00502DD2">
        <w:t>al</w:t>
      </w:r>
      <w:r w:rsidRPr="00A00875">
        <w:t xml:space="preserve"> is acting as settlor, beneficiary, controlling person or protector or </w:t>
      </w:r>
      <w:r w:rsidR="00374EEF">
        <w:t>is</w:t>
      </w:r>
      <w:r w:rsidR="00374EEF" w:rsidRPr="00A00875">
        <w:t xml:space="preserve"> </w:t>
      </w:r>
      <w:r w:rsidRPr="00A00875">
        <w:t>holding equivalent</w:t>
      </w:r>
      <w:r w:rsidRPr="00583023">
        <w:t xml:space="preserve"> positions in similar legal arrangements, a nominee arrangement will often exist</w:t>
      </w:r>
      <w:r w:rsidR="00374EEF">
        <w:t>. T</w:t>
      </w:r>
      <w:r w:rsidR="003C4CEB">
        <w:t>herefore</w:t>
      </w:r>
      <w:r w:rsidR="00374EEF">
        <w:t>,</w:t>
      </w:r>
      <w:r w:rsidR="003C4CEB">
        <w:t xml:space="preserve"> more in-depth scrutiny</w:t>
      </w:r>
      <w:r w:rsidR="00374EEF">
        <w:t xml:space="preserve"> should be applied</w:t>
      </w:r>
      <w:r w:rsidR="003C4CEB">
        <w:t xml:space="preserve"> to identify the actual beneficial owner holding such role</w:t>
      </w:r>
      <w:r w:rsidRPr="00583023">
        <w:t xml:space="preserve">. </w:t>
      </w:r>
    </w:p>
    <w:p w14:paraId="68CEF30D" w14:textId="77777777" w:rsidR="00204239" w:rsidRPr="00861902" w:rsidRDefault="00204239" w:rsidP="00204239">
      <w:pPr>
        <w:pStyle w:val="Heading3"/>
        <w:numPr>
          <w:ilvl w:val="2"/>
          <w:numId w:val="4"/>
        </w:numPr>
        <w:jc w:val="both"/>
      </w:pPr>
      <w:r>
        <w:t>Guidance for</w:t>
      </w:r>
      <w:r w:rsidRPr="00861902">
        <w:t xml:space="preserve"> non-professional trustees</w:t>
      </w:r>
    </w:p>
    <w:p w14:paraId="664F243B" w14:textId="77777777" w:rsidR="00204239" w:rsidRPr="00204239" w:rsidRDefault="00204239" w:rsidP="00204239">
      <w:pPr>
        <w:pStyle w:val="Para"/>
      </w:pPr>
      <w:r w:rsidRPr="00861902">
        <w:t xml:space="preserve">The FATF glossary </w:t>
      </w:r>
      <w:r>
        <w:t xml:space="preserve">defines </w:t>
      </w:r>
      <w:r w:rsidRPr="00861902">
        <w:t>the term “trustee”</w:t>
      </w:r>
      <w:r>
        <w:t xml:space="preserve"> consistent with Article 2 of the Hague Convention on the law applicable to trusts and their recognition and</w:t>
      </w:r>
      <w:r w:rsidRPr="00861902">
        <w:t xml:space="preserve"> includes both professional </w:t>
      </w:r>
      <w:r w:rsidRPr="00A00875">
        <w:t>trustees (providing trust services by way of business) as well as trustees who would not be acting as such for profit purposes and/or are not holding themselves out as providing such services to the public and/or on a habitual basis (</w:t>
      </w:r>
      <w:r w:rsidR="00F76644" w:rsidRPr="00A00875">
        <w:t>i.e.,</w:t>
      </w:r>
      <w:r w:rsidRPr="00A00875">
        <w:t xml:space="preserve"> non-professional </w:t>
      </w:r>
      <w:r w:rsidRPr="00204239">
        <w:t xml:space="preserve">trustees). This means that the obligations under </w:t>
      </w:r>
      <w:r w:rsidR="00E945F4">
        <w:t>R.</w:t>
      </w:r>
      <w:r w:rsidRPr="00204239">
        <w:t xml:space="preserve">25 are applicable to </w:t>
      </w:r>
      <w:r w:rsidR="00317325">
        <w:t xml:space="preserve">professional and </w:t>
      </w:r>
      <w:r w:rsidRPr="00204239">
        <w:t xml:space="preserve">non-professional trustees, including record-keeping obligations. </w:t>
      </w:r>
    </w:p>
    <w:p w14:paraId="052DE02D" w14:textId="53C35DCE" w:rsidR="003A6712" w:rsidRPr="00204239" w:rsidRDefault="00204239" w:rsidP="00204239">
      <w:pPr>
        <w:pStyle w:val="Para"/>
      </w:pPr>
      <w:r w:rsidRPr="00204239">
        <w:t xml:space="preserve">Countries may </w:t>
      </w:r>
      <w:r w:rsidRPr="0071117C">
        <w:t>consider</w:t>
      </w:r>
      <w:r w:rsidR="00D02074" w:rsidRPr="0071117C">
        <w:t xml:space="preserve"> </w:t>
      </w:r>
      <w:r w:rsidRPr="0071117C">
        <w:t>the exten</w:t>
      </w:r>
      <w:r w:rsidRPr="00204239">
        <w:t>t to which their legal framework allows for the adequate oversight or monitoring of non-professional trustees as regards their AML/CFT obligations</w:t>
      </w:r>
      <w:r w:rsidR="00E40456">
        <w:t>, following a risk-based approach</w:t>
      </w:r>
      <w:r w:rsidR="003C4CEB">
        <w:t>.</w:t>
      </w:r>
    </w:p>
    <w:p w14:paraId="4BFDD1AC" w14:textId="77777777" w:rsidR="003A6712" w:rsidRPr="00D86C8F" w:rsidRDefault="00F16E5B" w:rsidP="003A6712">
      <w:pPr>
        <w:pStyle w:val="Heading2"/>
        <w:numPr>
          <w:ilvl w:val="1"/>
          <w:numId w:val="4"/>
        </w:numPr>
        <w:jc w:val="both"/>
        <w:rPr>
          <w:lang w:val="en-US"/>
        </w:rPr>
      </w:pPr>
      <w:bookmarkStart w:id="60" w:name="_Toc145618552"/>
      <w:bookmarkStart w:id="61" w:name="_Toc149217185"/>
      <w:r>
        <w:t>The implementation of</w:t>
      </w:r>
      <w:r w:rsidR="003A6712" w:rsidRPr="00D86C8F">
        <w:t xml:space="preserve"> beneficial ownership and other</w:t>
      </w:r>
      <w:r w:rsidR="00204239">
        <w:t xml:space="preserve"> </w:t>
      </w:r>
      <w:r w:rsidR="003A6712" w:rsidRPr="00D86C8F">
        <w:t xml:space="preserve">FATF </w:t>
      </w:r>
      <w:r w:rsidR="003A6712">
        <w:t>standard</w:t>
      </w:r>
      <w:bookmarkEnd w:id="60"/>
      <w:r w:rsidR="00204239">
        <w:t xml:space="preserve"> requirements</w:t>
      </w:r>
      <w:bookmarkEnd w:id="61"/>
    </w:p>
    <w:p w14:paraId="63619D95" w14:textId="77777777" w:rsidR="003A6712" w:rsidRPr="00406A27" w:rsidRDefault="003A6712" w:rsidP="003A6712">
      <w:pPr>
        <w:pStyle w:val="Heading3"/>
        <w:numPr>
          <w:ilvl w:val="2"/>
          <w:numId w:val="4"/>
        </w:numPr>
        <w:jc w:val="both"/>
      </w:pPr>
      <w:r w:rsidRPr="00406A27">
        <w:t>Aligned interpretation of R</w:t>
      </w:r>
      <w:r>
        <w:t>.</w:t>
      </w:r>
      <w:r w:rsidRPr="00406A27">
        <w:t>10/22 and R</w:t>
      </w:r>
      <w:r>
        <w:t>.</w:t>
      </w:r>
      <w:r w:rsidRPr="00406A27">
        <w:t>25</w:t>
      </w:r>
    </w:p>
    <w:p w14:paraId="32E73EC3" w14:textId="77777777" w:rsidR="003A6712" w:rsidRPr="00A00875" w:rsidRDefault="00E945F4" w:rsidP="00A00875">
      <w:pPr>
        <w:pStyle w:val="Para"/>
      </w:pPr>
      <w:r>
        <w:t>R.</w:t>
      </w:r>
      <w:r w:rsidR="003A6712" w:rsidRPr="00406A27">
        <w:t xml:space="preserve">10 and </w:t>
      </w:r>
      <w:r w:rsidR="007121BB">
        <w:t>R.</w:t>
      </w:r>
      <w:r w:rsidR="003A6712" w:rsidRPr="00406A27">
        <w:t xml:space="preserve">22 set out a number of CDD obligations on FIs and DNFBPs, including on professional trustees, which in nature are </w:t>
      </w:r>
      <w:r w:rsidR="003A6712">
        <w:t>very close</w:t>
      </w:r>
      <w:r w:rsidR="003A6712" w:rsidRPr="00406A27">
        <w:t xml:space="preserve"> to the ones set out under </w:t>
      </w:r>
      <w:r>
        <w:t>R.</w:t>
      </w:r>
      <w:r w:rsidR="003A6712" w:rsidRPr="00406A27">
        <w:t>25. By way of example</w:t>
      </w:r>
      <w:r w:rsidR="003A6712">
        <w:t>,</w:t>
      </w:r>
      <w:r w:rsidR="003A6712" w:rsidRPr="00406A27">
        <w:t xml:space="preserve"> professional trustees (or equivalent function holders) </w:t>
      </w:r>
      <w:r w:rsidR="003A6712" w:rsidRPr="00A00875">
        <w:t xml:space="preserve">are required to identify and verify the beneficial owners of trusts or similar legal arrangements they administer in terms of </w:t>
      </w:r>
      <w:r>
        <w:t>R.</w:t>
      </w:r>
      <w:r w:rsidR="003A6712" w:rsidRPr="00A00875">
        <w:t xml:space="preserve">22. This entails obtaining adequate, accurate, and up-to-date beneficial ownership information regarding the trust or legal arrangement. </w:t>
      </w:r>
    </w:p>
    <w:p w14:paraId="6C5F8C50" w14:textId="77777777" w:rsidR="003A6712" w:rsidRPr="00A00875" w:rsidRDefault="003A6712" w:rsidP="00A00875">
      <w:pPr>
        <w:pStyle w:val="Para"/>
      </w:pPr>
      <w:r w:rsidRPr="00A00875">
        <w:t>Information on trusts and similar legal arrangements collected by FIs and DNFBPs, as part of CDD can be one source of information – as noted under para</w:t>
      </w:r>
      <w:r w:rsidR="00557DE7">
        <w:t>.</w:t>
      </w:r>
      <w:r w:rsidRPr="00A00875">
        <w:t xml:space="preserve"> </w:t>
      </w:r>
      <w:r w:rsidR="003468F9">
        <w:t>5</w:t>
      </w:r>
      <w:r w:rsidRPr="00A00875">
        <w:t xml:space="preserve"> of the </w:t>
      </w:r>
      <w:r w:rsidR="00317325">
        <w:t>IN</w:t>
      </w:r>
      <w:r w:rsidRPr="00A00875">
        <w:t xml:space="preserve">R.25. </w:t>
      </w:r>
    </w:p>
    <w:p w14:paraId="2896D239" w14:textId="77777777" w:rsidR="003A6712" w:rsidRPr="00946D0F" w:rsidRDefault="003A6712" w:rsidP="00A00875">
      <w:pPr>
        <w:pStyle w:val="Para"/>
      </w:pPr>
      <w:r w:rsidRPr="00A00875">
        <w:t xml:space="preserve">Under </w:t>
      </w:r>
      <w:r w:rsidR="00E945F4">
        <w:t>R.</w:t>
      </w:r>
      <w:r w:rsidRPr="00A00875">
        <w:t>10</w:t>
      </w:r>
      <w:r w:rsidR="00317325">
        <w:t xml:space="preserve"> and</w:t>
      </w:r>
      <w:r w:rsidR="007121BB">
        <w:t xml:space="preserve"> R.</w:t>
      </w:r>
      <w:r w:rsidRPr="00A00875">
        <w:t>22, FIs and DNFBPs are required to identify and verify their customer</w:t>
      </w:r>
      <w:r w:rsidR="005365BD">
        <w:t>’s identity</w:t>
      </w:r>
      <w:r w:rsidRPr="00A00875">
        <w:t xml:space="preserve"> and understand the nature of </w:t>
      </w:r>
      <w:r w:rsidR="00317325">
        <w:t>their</w:t>
      </w:r>
      <w:r w:rsidR="00317325" w:rsidRPr="00A00875">
        <w:t xml:space="preserve"> </w:t>
      </w:r>
      <w:r w:rsidRPr="00A00875">
        <w:t xml:space="preserve">business, ownership and control structure. This requires carrying out appropriate CDD measures as required under the interpretive note to </w:t>
      </w:r>
      <w:r w:rsidR="00E945F4">
        <w:t>R.</w:t>
      </w:r>
      <w:r w:rsidRPr="00A00875">
        <w:t>10, para</w:t>
      </w:r>
      <w:r w:rsidR="00557DE7">
        <w:t>.</w:t>
      </w:r>
      <w:r w:rsidRPr="00A00875">
        <w:t xml:space="preserve"> 5(b)(ii). The obligation to understand their customer and their</w:t>
      </w:r>
      <w:r w:rsidRPr="00FD0A28">
        <w:t xml:space="preserve"> risk profile should be ongoing, and countries should ensure that the information collected in the context of CDD is adequate, accurate and up to date. </w:t>
      </w:r>
    </w:p>
    <w:p w14:paraId="3D0BA39B" w14:textId="77777777" w:rsidR="003A6712" w:rsidRPr="00406A27" w:rsidRDefault="003A6712" w:rsidP="00F16E5B">
      <w:pPr>
        <w:pStyle w:val="Heading3"/>
        <w:numPr>
          <w:ilvl w:val="2"/>
          <w:numId w:val="4"/>
        </w:numPr>
        <w:jc w:val="both"/>
      </w:pPr>
      <w:r w:rsidRPr="00406A27">
        <w:lastRenderedPageBreak/>
        <w:t>Consistent application of the beneficial ownership definition for trusts and similar legal arrangements</w:t>
      </w:r>
    </w:p>
    <w:p w14:paraId="0290556B" w14:textId="77777777" w:rsidR="003A6712" w:rsidRPr="00406A27" w:rsidRDefault="003A6712" w:rsidP="00A00875">
      <w:pPr>
        <w:pStyle w:val="Para"/>
      </w:pPr>
      <w:r>
        <w:t>The</w:t>
      </w:r>
      <w:r w:rsidRPr="00406A27">
        <w:t xml:space="preserve"> revised FATF</w:t>
      </w:r>
      <w:r w:rsidR="00E945F4">
        <w:t xml:space="preserve"> Recommendations</w:t>
      </w:r>
      <w:r w:rsidRPr="00406A27">
        <w:t xml:space="preserve"> include a definition of beneficial ownership in the context of </w:t>
      </w:r>
      <w:r w:rsidRPr="00A00875">
        <w:t>trusts</w:t>
      </w:r>
      <w:r w:rsidRPr="00406A27">
        <w:t xml:space="preserve"> and similar legal arrangements cover</w:t>
      </w:r>
      <w:r>
        <w:t>ing</w:t>
      </w:r>
      <w:r w:rsidRPr="00406A27">
        <w:t xml:space="preserve"> holders of object of a power in that trust or similar arrangement. All FIs and DNFBPs applying the CDD obligation of identifying and verifying the identity of beneficial owners of trusts and similar arrangements, shall identify and verify all parties </w:t>
      </w:r>
      <w:r w:rsidR="00502DD2">
        <w:t xml:space="preserve">as </w:t>
      </w:r>
      <w:r w:rsidRPr="00406A27">
        <w:t>listed under the glossary definition of beneficial owner</w:t>
      </w:r>
      <w:r w:rsidR="00502DD2">
        <w:t xml:space="preserve"> and in accordance with INR</w:t>
      </w:r>
      <w:r w:rsidR="007121BB">
        <w:t>.</w:t>
      </w:r>
      <w:r w:rsidR="00502DD2">
        <w:t>25.1</w:t>
      </w:r>
      <w:r>
        <w:t>.</w:t>
      </w:r>
      <w:r w:rsidRPr="00406A27">
        <w:t xml:space="preserve">   </w:t>
      </w:r>
    </w:p>
    <w:p w14:paraId="762990C2" w14:textId="77777777" w:rsidR="003A6712" w:rsidRPr="00406A27" w:rsidRDefault="003A6712" w:rsidP="00F16E5B">
      <w:pPr>
        <w:pStyle w:val="Heading3"/>
        <w:numPr>
          <w:ilvl w:val="2"/>
          <w:numId w:val="4"/>
        </w:numPr>
        <w:jc w:val="both"/>
      </w:pPr>
      <w:r w:rsidRPr="00406A27">
        <w:t xml:space="preserve">Application of identification and verification measures </w:t>
      </w:r>
      <w:r>
        <w:t xml:space="preserve">where parties to the trust and similar legal arrangement </w:t>
      </w:r>
      <w:r w:rsidRPr="00406A27">
        <w:t>are legal persons or arrangements.</w:t>
      </w:r>
    </w:p>
    <w:p w14:paraId="33A346BC" w14:textId="77777777" w:rsidR="003A6712" w:rsidRPr="00A00875" w:rsidRDefault="003A6712" w:rsidP="00A00875">
      <w:pPr>
        <w:pStyle w:val="Para"/>
      </w:pPr>
      <w:r w:rsidRPr="00406A27">
        <w:t>In the case of trusts and similar legal arrangements</w:t>
      </w:r>
      <w:r>
        <w:t>,</w:t>
      </w:r>
      <w:r w:rsidRPr="00406A27">
        <w:t xml:space="preserve"> it may be the case that some of the parties involved in the trust are legal persons or arrangements. By way of example</w:t>
      </w:r>
      <w:r w:rsidR="00502DD2">
        <w:t>s</w:t>
      </w:r>
      <w:r>
        <w:t>,</w:t>
      </w:r>
      <w:r w:rsidRPr="00406A27">
        <w:t xml:space="preserve"> the trustee administering the trust may be a commercial entity providing trust services, </w:t>
      </w:r>
      <w:r w:rsidRPr="007B3C69">
        <w:t xml:space="preserve">the settlor </w:t>
      </w:r>
      <w:r w:rsidR="00502DD2">
        <w:t>may be</w:t>
      </w:r>
      <w:r w:rsidR="00502DD2" w:rsidRPr="007B3C69">
        <w:t xml:space="preserve"> </w:t>
      </w:r>
      <w:r w:rsidRPr="007B3C69">
        <w:t xml:space="preserve">an enterprise setting up a trust fund for the benefit of its employees </w:t>
      </w:r>
      <w:r w:rsidRPr="00580F74">
        <w:rPr>
          <w:lang w:val="en-US"/>
        </w:rPr>
        <w:t xml:space="preserve">or a legal entity </w:t>
      </w:r>
      <w:r w:rsidRPr="00A00875">
        <w:t xml:space="preserve">may act as nominee for an individual settlor or on the instructions of an individual who has provided funds to the legal entity for this purpose. In such cases, the trustee (or equivalent), and other FIs or DNFBPs providing services to such trusts or legal arrangements should identify and verify the identity of the legal person or arrangement involved in such a trust as well as its beneficial owners. Even though this requirement is only explicitly spelt out under the </w:t>
      </w:r>
      <w:r w:rsidR="00502DD2">
        <w:t>IN</w:t>
      </w:r>
      <w:r w:rsidRPr="00A00875">
        <w:t xml:space="preserve">R.25 (applicable to trustees), it is likewise applicable in the context of </w:t>
      </w:r>
      <w:r w:rsidR="00E945F4">
        <w:t>R.</w:t>
      </w:r>
      <w:r w:rsidRPr="00A00875">
        <w:t xml:space="preserve">10 and </w:t>
      </w:r>
      <w:r w:rsidR="007121BB">
        <w:t>R.</w:t>
      </w:r>
      <w:r w:rsidRPr="00A00875">
        <w:t>22 when all other FIs and DNFBPs are identifying the beneficial owner</w:t>
      </w:r>
      <w:r w:rsidR="00502DD2">
        <w:t>s</w:t>
      </w:r>
      <w:r w:rsidRPr="00A00875">
        <w:t xml:space="preserve"> of trusts and other legal arrangements.</w:t>
      </w:r>
    </w:p>
    <w:p w14:paraId="19DD6634" w14:textId="77777777" w:rsidR="003A6712" w:rsidRPr="00406A27" w:rsidRDefault="003A6712" w:rsidP="00A00875">
      <w:pPr>
        <w:pStyle w:val="Para"/>
      </w:pPr>
      <w:r w:rsidRPr="00A00875">
        <w:t>Trustees, other FIs</w:t>
      </w:r>
      <w:r w:rsidRPr="00406A27">
        <w:t xml:space="preserve"> and DNFBPs should </w:t>
      </w:r>
      <w:r w:rsidR="00F16E5B">
        <w:t>identify and verify parties to</w:t>
      </w:r>
      <w:r w:rsidRPr="00406A27">
        <w:t xml:space="preserve"> trusts and similar legal arrangements, that are legal persons or arrangements, by collecting and verifying their basic and beneficial ownership information in line with </w:t>
      </w:r>
      <w:r w:rsidR="00E945F4">
        <w:t>R.</w:t>
      </w:r>
      <w:r w:rsidRPr="00406A27">
        <w:t>10.</w:t>
      </w:r>
    </w:p>
    <w:p w14:paraId="5DA68C71" w14:textId="77777777" w:rsidR="00BE40ED" w:rsidRDefault="00BE40ED" w:rsidP="00BE40ED">
      <w:pPr>
        <w:pStyle w:val="Heading3"/>
      </w:pPr>
      <w:r>
        <w:t xml:space="preserve">Applying identification and verification requirements in respect of objects of </w:t>
      </w:r>
      <w:r w:rsidR="00502DD2">
        <w:t xml:space="preserve">a </w:t>
      </w:r>
      <w:r>
        <w:t>power</w:t>
      </w:r>
    </w:p>
    <w:p w14:paraId="5966A3B1" w14:textId="77777777" w:rsidR="00BE40ED" w:rsidRDefault="00BE40ED" w:rsidP="00BE40ED">
      <w:pPr>
        <w:pStyle w:val="Para"/>
      </w:pPr>
      <w:r>
        <w:t xml:space="preserve">Where a FI or DNFBP other than the trustee is providing services to an express trust or legal arrangement, in determining who the beneficial owner is, the FI or DNFBP should determine the role/status that such a beneficial owner has within the legal arrangement (i.e., whether they are a settlor, trustee, beneficiary or object of </w:t>
      </w:r>
      <w:r w:rsidR="00502DD2">
        <w:t xml:space="preserve">a </w:t>
      </w:r>
      <w:r>
        <w:t xml:space="preserve">power). </w:t>
      </w:r>
      <w:r w:rsidR="00444913">
        <w:t>To comply</w:t>
      </w:r>
      <w:r>
        <w:t xml:space="preserve"> with </w:t>
      </w:r>
      <w:r w:rsidR="00E945F4">
        <w:t>R.</w:t>
      </w:r>
      <w:r>
        <w:t xml:space="preserve">10, FI or DNFBP may rely on the trustee (who is obliged to disclose their status to FI or DNFBPs) to indicate or declare whether there is any object of </w:t>
      </w:r>
      <w:r w:rsidR="00502DD2">
        <w:t xml:space="preserve">a </w:t>
      </w:r>
      <w:r>
        <w:t xml:space="preserve">power in respect of that trust and indicate who that person is, given that it is only the trustee who would be able to determine that. </w:t>
      </w:r>
      <w:r w:rsidR="00BE4A09">
        <w:t>However, in line with INR</w:t>
      </w:r>
      <w:r w:rsidR="007121BB">
        <w:t>.</w:t>
      </w:r>
      <w:r w:rsidR="00BE4A09">
        <w:t xml:space="preserve">10 this information should satisfy the FI/DNFBP that it is able to establish the </w:t>
      </w:r>
      <w:r w:rsidR="00444913">
        <w:t xml:space="preserve">beneficiary’s identity </w:t>
      </w:r>
      <w:r w:rsidR="00BE4A09">
        <w:t xml:space="preserve">at the time of the </w:t>
      </w:r>
      <w:proofErr w:type="spellStart"/>
      <w:r w:rsidR="00BE4A09">
        <w:t>payout</w:t>
      </w:r>
      <w:proofErr w:type="spellEnd"/>
      <w:r w:rsidR="00BE4A09">
        <w:t xml:space="preserve"> or when the beneficiary intends to exercise vested rights.</w:t>
      </w:r>
    </w:p>
    <w:p w14:paraId="51A29292" w14:textId="34B80E25" w:rsidR="00BE40ED" w:rsidRDefault="00C604BC" w:rsidP="00BE40ED">
      <w:pPr>
        <w:pStyle w:val="Para"/>
      </w:pPr>
      <w:r>
        <w:t>W</w:t>
      </w:r>
      <w:r w:rsidR="00BE40ED">
        <w:t>ith respect to persons who are the object of a powe</w:t>
      </w:r>
      <w:r w:rsidR="00BE40ED" w:rsidRPr="0071117C">
        <w:t xml:space="preserve">r </w:t>
      </w:r>
      <w:r w:rsidR="00E82D37" w:rsidRPr="0071117C">
        <w:t>it is not mandatory</w:t>
      </w:r>
      <w:r w:rsidR="00BE40ED" w:rsidRPr="0071117C">
        <w:t xml:space="preserve"> to </w:t>
      </w:r>
      <w:r w:rsidR="00BE40ED">
        <w:t>obtain official documentation (such as identity documentation or passports) to verify one’s identity as the object of a power might not be yet aware of the existence of the trust itself. Verification measures that can be deployed on a risk sensitive basis include:</w:t>
      </w:r>
    </w:p>
    <w:p w14:paraId="64DDB9A3" w14:textId="77777777" w:rsidR="00BE40ED" w:rsidRDefault="00BE40ED" w:rsidP="00BE40ED">
      <w:pPr>
        <w:pStyle w:val="BulletedList"/>
      </w:pPr>
      <w:r>
        <w:t>obtaining a declaration confirming the identification details of the object of a power from the settlor (in the case of trustees) or the trustee (in case of FIs or DNFBPs).</w:t>
      </w:r>
    </w:p>
    <w:p w14:paraId="292790D0" w14:textId="77777777" w:rsidR="00BE40ED" w:rsidRDefault="00BE40ED" w:rsidP="00BE40ED">
      <w:pPr>
        <w:pStyle w:val="BulletedList"/>
      </w:pPr>
      <w:r>
        <w:t>relying on any identification details that might be available in a trust deed, letter of wishes or similar document.</w:t>
      </w:r>
    </w:p>
    <w:p w14:paraId="6DEB32EF" w14:textId="77777777" w:rsidR="00BE40ED" w:rsidRDefault="00BE40ED" w:rsidP="00BE40ED">
      <w:pPr>
        <w:pStyle w:val="BulletedList"/>
      </w:pPr>
      <w:r>
        <w:t>verify</w:t>
      </w:r>
      <w:r w:rsidR="00502DD2">
        <w:t>ing</w:t>
      </w:r>
      <w:r>
        <w:t xml:space="preserve"> the information from publicly available sources or accessible registries.</w:t>
      </w:r>
    </w:p>
    <w:p w14:paraId="730DDD94" w14:textId="77777777" w:rsidR="00BE40ED" w:rsidRDefault="00BE40ED" w:rsidP="00BE40ED">
      <w:pPr>
        <w:pStyle w:val="BulletedList"/>
      </w:pPr>
      <w:r>
        <w:lastRenderedPageBreak/>
        <w:t>obtaining official documentation or delaying this until the time of pay out.</w:t>
      </w:r>
    </w:p>
    <w:p w14:paraId="75FA6030" w14:textId="77777777" w:rsidR="003A6712" w:rsidRPr="00406A27" w:rsidRDefault="003A6712" w:rsidP="00F16E5B">
      <w:pPr>
        <w:pStyle w:val="Heading3"/>
        <w:numPr>
          <w:ilvl w:val="2"/>
          <w:numId w:val="4"/>
        </w:numPr>
        <w:jc w:val="both"/>
      </w:pPr>
      <w:r w:rsidRPr="00406A27">
        <w:t>Holding basic information on regulated agents and service providers to the trust or similar legal arrangement</w:t>
      </w:r>
    </w:p>
    <w:p w14:paraId="21490128" w14:textId="77777777" w:rsidR="003A6712" w:rsidRPr="00406A27" w:rsidRDefault="00767851" w:rsidP="00A00875">
      <w:pPr>
        <w:pStyle w:val="Para"/>
      </w:pPr>
      <w:r>
        <w:t>Countries should</w:t>
      </w:r>
      <w:r w:rsidR="003A6712" w:rsidRPr="00406A27">
        <w:t xml:space="preserve"> oblige trustees (or similar function holders in other arrangements) that reside or are administering trusts or similar legal arrangements in that country to identify agents and service providers of the trust or similar legal </w:t>
      </w:r>
      <w:r w:rsidR="003A6712" w:rsidRPr="00A00875">
        <w:t>arrangements</w:t>
      </w:r>
      <w:r w:rsidR="003A6712" w:rsidRPr="00406A27">
        <w:t xml:space="preserve">. This would include service providers such as investment advisors, accountants, </w:t>
      </w:r>
      <w:r w:rsidR="009F0DC0" w:rsidRPr="00406A27">
        <w:t>lawyers,</w:t>
      </w:r>
      <w:r w:rsidR="003A6712" w:rsidRPr="00406A27">
        <w:t xml:space="preserve"> or tax advisors. The </w:t>
      </w:r>
      <w:r w:rsidR="00896816">
        <w:t>IN</w:t>
      </w:r>
      <w:r w:rsidR="003A6712">
        <w:t>R.</w:t>
      </w:r>
      <w:r w:rsidR="003A6712" w:rsidRPr="00406A27">
        <w:t xml:space="preserve">25 stipulates that trustees should collect “basic information” on such agents and service providers. </w:t>
      </w:r>
    </w:p>
    <w:p w14:paraId="08BE2EC8" w14:textId="77777777" w:rsidR="003A6712" w:rsidRPr="00406A27" w:rsidRDefault="003A6712" w:rsidP="00A00875">
      <w:pPr>
        <w:pStyle w:val="Para"/>
      </w:pPr>
      <w:r w:rsidRPr="00406A27">
        <w:t xml:space="preserve">It should also be clarified that this obligation is envisaged only </w:t>
      </w:r>
      <w:r w:rsidR="00502DD2">
        <w:t xml:space="preserve">by </w:t>
      </w:r>
      <w:r>
        <w:t>R.</w:t>
      </w:r>
      <w:r w:rsidRPr="00406A27">
        <w:t xml:space="preserve">25 and hence applicable only to trustees. It </w:t>
      </w:r>
      <w:r w:rsidR="00ED032A">
        <w:t>does not apply</w:t>
      </w:r>
      <w:r w:rsidRPr="00406A27">
        <w:t xml:space="preserve"> to other FIs and DNFBPs </w:t>
      </w:r>
      <w:r>
        <w:t xml:space="preserve">– other than when these act as service providers - </w:t>
      </w:r>
      <w:r w:rsidRPr="00406A27">
        <w:t>who may be servicing the trust (</w:t>
      </w:r>
      <w:r w:rsidR="009F0DC0" w:rsidRPr="00406A27">
        <w:t>e.g.,</w:t>
      </w:r>
      <w:r w:rsidRPr="00406A27">
        <w:t xml:space="preserve"> a bank providing a bank account) since it is not possible or expected for such FIs or DNFBPs to know about other service providers that are servicing the trust or legal arrangement.</w:t>
      </w:r>
    </w:p>
    <w:p w14:paraId="03155A91" w14:textId="77777777" w:rsidR="003A6712" w:rsidRPr="00A82363" w:rsidRDefault="003A6712" w:rsidP="00F16E5B">
      <w:pPr>
        <w:pStyle w:val="Heading3"/>
        <w:numPr>
          <w:ilvl w:val="2"/>
          <w:numId w:val="4"/>
        </w:numPr>
        <w:jc w:val="both"/>
      </w:pPr>
      <w:r w:rsidRPr="00A82363">
        <w:t xml:space="preserve">Identifying persons that are acting on behalf of a trust or similar legal </w:t>
      </w:r>
      <w:proofErr w:type="gramStart"/>
      <w:r w:rsidRPr="00A82363">
        <w:t>arrangements</w:t>
      </w:r>
      <w:proofErr w:type="gramEnd"/>
    </w:p>
    <w:p w14:paraId="65403115" w14:textId="77777777" w:rsidR="003A6712" w:rsidRPr="00A00875" w:rsidRDefault="003A6712" w:rsidP="00A00875">
      <w:pPr>
        <w:pStyle w:val="Para"/>
      </w:pPr>
      <w:r w:rsidRPr="00406A27">
        <w:t>R</w:t>
      </w:r>
      <w:r>
        <w:t>.</w:t>
      </w:r>
      <w:r w:rsidRPr="00406A27">
        <w:t xml:space="preserve">25 requires trustees and persons holding equivalent functions in other legal arrangements to disclose their status when </w:t>
      </w:r>
      <w:r w:rsidR="009F0DC0" w:rsidRPr="00406A27">
        <w:t>entering</w:t>
      </w:r>
      <w:r w:rsidRPr="00406A27">
        <w:t xml:space="preserve"> a business relationship or carrying out an </w:t>
      </w:r>
      <w:r w:rsidRPr="00A00875">
        <w:t>occasional transaction with a</w:t>
      </w:r>
      <w:r w:rsidR="006A1BBA">
        <w:t>n</w:t>
      </w:r>
      <w:r w:rsidRPr="00A00875">
        <w:t xml:space="preserve"> FI or DNFBP. </w:t>
      </w:r>
    </w:p>
    <w:p w14:paraId="6AA7EC9D" w14:textId="77777777" w:rsidR="00502DD2" w:rsidRPr="00406A27" w:rsidRDefault="003A6712" w:rsidP="00BD75D6">
      <w:pPr>
        <w:pStyle w:val="Para"/>
        <w:numPr>
          <w:ilvl w:val="0"/>
          <w:numId w:val="24"/>
        </w:numPr>
      </w:pPr>
      <w:r w:rsidRPr="00A00875">
        <w:t xml:space="preserve">FIs and DNFBPs may rely on trustees (and equivalent function holders) to disclose their status when </w:t>
      </w:r>
      <w:r w:rsidR="009F0DC0" w:rsidRPr="00A00875">
        <w:t>entering</w:t>
      </w:r>
      <w:r w:rsidRPr="00A00875">
        <w:t xml:space="preserve"> a business relationship or carrying out an occasional transaction on behalf of a trust. </w:t>
      </w:r>
      <w:r w:rsidR="00BE4A09">
        <w:t>FIs and DNFBPs</w:t>
      </w:r>
      <w:r w:rsidR="00502DD2" w:rsidRPr="00A00875">
        <w:t xml:space="preserve"> should, however, be aware of</w:t>
      </w:r>
      <w:r w:rsidR="00502DD2" w:rsidRPr="00406A27">
        <w:t xml:space="preserve"> certain circumstances that </w:t>
      </w:r>
      <w:r w:rsidR="00502DD2">
        <w:t xml:space="preserve">may </w:t>
      </w:r>
      <w:r w:rsidR="00502DD2" w:rsidRPr="00406A27">
        <w:t xml:space="preserve">indicate that a person </w:t>
      </w:r>
      <w:r w:rsidR="00502DD2">
        <w:t>is</w:t>
      </w:r>
      <w:r w:rsidR="00502DD2" w:rsidRPr="00406A27">
        <w:t xml:space="preserve"> not </w:t>
      </w:r>
      <w:r w:rsidR="00502DD2">
        <w:t xml:space="preserve">legitimately </w:t>
      </w:r>
      <w:r w:rsidR="00502DD2" w:rsidRPr="00406A27">
        <w:t xml:space="preserve">acting </w:t>
      </w:r>
      <w:r w:rsidR="00502DD2">
        <w:t>in their declared role</w:t>
      </w:r>
      <w:r w:rsidR="00502DD2" w:rsidRPr="00406A27">
        <w:t xml:space="preserve"> but </w:t>
      </w:r>
      <w:r w:rsidR="00502DD2">
        <w:t>instead is acting on behalf of</w:t>
      </w:r>
      <w:r w:rsidR="00502DD2" w:rsidRPr="00406A27">
        <w:t xml:space="preserve"> another natural person, legal person or arrangement</w:t>
      </w:r>
      <w:r w:rsidR="00502DD2">
        <w:t xml:space="preserve"> without disclosing this</w:t>
      </w:r>
      <w:r w:rsidR="00502DD2" w:rsidRPr="00406A27">
        <w:t>. Such indicators could include:</w:t>
      </w:r>
    </w:p>
    <w:p w14:paraId="472D28CA" w14:textId="77777777" w:rsidR="00502DD2" w:rsidRPr="00406A27" w:rsidRDefault="00502DD2" w:rsidP="00885103">
      <w:pPr>
        <w:pStyle w:val="BulletedList"/>
        <w:numPr>
          <w:ilvl w:val="0"/>
          <w:numId w:val="16"/>
        </w:numPr>
        <w:rPr>
          <w:rFonts w:asciiTheme="minorHAnsi" w:hAnsiTheme="minorHAnsi" w:cstheme="minorHAnsi"/>
        </w:rPr>
      </w:pPr>
      <w:r w:rsidRPr="00406A27">
        <w:rPr>
          <w:rFonts w:asciiTheme="minorHAnsi" w:hAnsiTheme="minorHAnsi" w:cstheme="minorHAnsi"/>
        </w:rPr>
        <w:t xml:space="preserve">situations where the </w:t>
      </w:r>
      <w:r>
        <w:rPr>
          <w:rFonts w:asciiTheme="minorHAnsi" w:hAnsiTheme="minorHAnsi" w:cstheme="minorHAnsi"/>
        </w:rPr>
        <w:t>declared trustee</w:t>
      </w:r>
      <w:r w:rsidRPr="00406A27">
        <w:rPr>
          <w:rFonts w:asciiTheme="minorHAnsi" w:hAnsiTheme="minorHAnsi" w:cstheme="minorHAnsi"/>
        </w:rPr>
        <w:t xml:space="preserve"> is unable to give immediate directions and asks to be allowed time to do so.</w:t>
      </w:r>
    </w:p>
    <w:p w14:paraId="2A829A7C" w14:textId="77777777" w:rsidR="00502DD2" w:rsidRPr="00406A27" w:rsidRDefault="00502DD2" w:rsidP="00885103">
      <w:pPr>
        <w:pStyle w:val="BulletedList"/>
        <w:numPr>
          <w:ilvl w:val="0"/>
          <w:numId w:val="16"/>
        </w:numPr>
        <w:rPr>
          <w:rFonts w:asciiTheme="minorHAnsi" w:hAnsiTheme="minorHAnsi" w:cstheme="minorHAnsi"/>
        </w:rPr>
      </w:pPr>
      <w:r w:rsidRPr="00406A27">
        <w:rPr>
          <w:rFonts w:asciiTheme="minorHAnsi" w:hAnsiTheme="minorHAnsi" w:cstheme="minorHAnsi"/>
        </w:rPr>
        <w:t xml:space="preserve">the funding or the assets held by the </w:t>
      </w:r>
      <w:r w:rsidR="00BE4A09">
        <w:rPr>
          <w:rFonts w:asciiTheme="minorHAnsi" w:hAnsiTheme="minorHAnsi" w:cstheme="minorHAnsi"/>
        </w:rPr>
        <w:t>FI/DNFBP</w:t>
      </w:r>
      <w:r w:rsidRPr="00406A27">
        <w:rPr>
          <w:rFonts w:asciiTheme="minorHAnsi" w:hAnsiTheme="minorHAnsi" w:cstheme="minorHAnsi"/>
        </w:rPr>
        <w:t xml:space="preserve"> originate from a source other than the </w:t>
      </w:r>
      <w:r>
        <w:rPr>
          <w:rFonts w:asciiTheme="minorHAnsi" w:hAnsiTheme="minorHAnsi" w:cstheme="minorHAnsi"/>
        </w:rPr>
        <w:t>declared trustee</w:t>
      </w:r>
      <w:r w:rsidRPr="00406A27">
        <w:rPr>
          <w:rFonts w:asciiTheme="minorHAnsi" w:hAnsiTheme="minorHAnsi" w:cstheme="minorHAnsi"/>
        </w:rPr>
        <w:t>.</w:t>
      </w:r>
    </w:p>
    <w:p w14:paraId="6F6D5D5D" w14:textId="77777777" w:rsidR="00502DD2" w:rsidRPr="00406A27" w:rsidRDefault="00502DD2" w:rsidP="00885103">
      <w:pPr>
        <w:pStyle w:val="BulletedList"/>
        <w:numPr>
          <w:ilvl w:val="0"/>
          <w:numId w:val="16"/>
        </w:numPr>
        <w:rPr>
          <w:rFonts w:asciiTheme="minorHAnsi" w:hAnsiTheme="minorHAnsi" w:cstheme="minorHAnsi"/>
        </w:rPr>
      </w:pPr>
      <w:r w:rsidRPr="00406A27">
        <w:rPr>
          <w:rFonts w:asciiTheme="minorHAnsi" w:hAnsiTheme="minorHAnsi" w:cstheme="minorHAnsi"/>
        </w:rPr>
        <w:t>doubts</w:t>
      </w:r>
      <w:r w:rsidR="00BE4A09">
        <w:rPr>
          <w:rFonts w:asciiTheme="minorHAnsi" w:hAnsiTheme="minorHAnsi" w:cstheme="minorHAnsi"/>
        </w:rPr>
        <w:t xml:space="preserve"> exist</w:t>
      </w:r>
      <w:r w:rsidRPr="00406A27">
        <w:rPr>
          <w:rFonts w:asciiTheme="minorHAnsi" w:hAnsiTheme="minorHAnsi" w:cstheme="minorHAnsi"/>
        </w:rPr>
        <w:t xml:space="preserve"> about the disclosed purpose of the business relationship or rationale of certain transactions.</w:t>
      </w:r>
    </w:p>
    <w:p w14:paraId="51A39C37" w14:textId="77777777" w:rsidR="00502DD2" w:rsidRDefault="00502DD2" w:rsidP="00885103">
      <w:pPr>
        <w:pStyle w:val="BulletedList"/>
        <w:numPr>
          <w:ilvl w:val="0"/>
          <w:numId w:val="16"/>
        </w:numPr>
        <w:rPr>
          <w:rFonts w:asciiTheme="minorHAnsi" w:hAnsiTheme="minorHAnsi" w:cstheme="minorHAnsi"/>
        </w:rPr>
      </w:pPr>
      <w:r w:rsidRPr="00406A27">
        <w:rPr>
          <w:rFonts w:asciiTheme="minorHAnsi" w:hAnsiTheme="minorHAnsi" w:cstheme="minorHAnsi"/>
        </w:rPr>
        <w:t xml:space="preserve">situations where transactions do not </w:t>
      </w:r>
      <w:r w:rsidR="00317325">
        <w:rPr>
          <w:rFonts w:asciiTheme="minorHAnsi" w:hAnsiTheme="minorHAnsi" w:cstheme="minorHAnsi"/>
        </w:rPr>
        <w:t>align</w:t>
      </w:r>
      <w:r w:rsidRPr="00406A27">
        <w:rPr>
          <w:rFonts w:asciiTheme="minorHAnsi" w:hAnsiTheme="minorHAnsi" w:cstheme="minorHAnsi"/>
        </w:rPr>
        <w:t xml:space="preserve"> with the disclosed purpose of the business relationship (</w:t>
      </w:r>
      <w:r w:rsidR="007121BB" w:rsidRPr="00406A27">
        <w:rPr>
          <w:rFonts w:asciiTheme="minorHAnsi" w:hAnsiTheme="minorHAnsi" w:cstheme="minorHAnsi"/>
        </w:rPr>
        <w:t>e.g.,</w:t>
      </w:r>
      <w:r w:rsidRPr="00406A27">
        <w:rPr>
          <w:rFonts w:asciiTheme="minorHAnsi" w:hAnsiTheme="minorHAnsi" w:cstheme="minorHAnsi"/>
        </w:rPr>
        <w:t xml:space="preserve"> destination of funds is inconsistent with the disclosed purpose).</w:t>
      </w:r>
    </w:p>
    <w:p w14:paraId="0CACC552" w14:textId="77777777" w:rsidR="003A6712" w:rsidRPr="00D86C8F" w:rsidRDefault="003A6712" w:rsidP="00502DD2">
      <w:pPr>
        <w:pStyle w:val="Heading3"/>
      </w:pPr>
      <w:r w:rsidRPr="0023137B">
        <w:t xml:space="preserve">Wire transfers and beneficial ownership as </w:t>
      </w:r>
      <w:r w:rsidRPr="00747CB0">
        <w:t>part</w:t>
      </w:r>
      <w:r w:rsidRPr="0023137B">
        <w:t xml:space="preserve"> of CDD </w:t>
      </w:r>
    </w:p>
    <w:p w14:paraId="5B1A9E60" w14:textId="77777777" w:rsidR="003A6712" w:rsidRDefault="003A6712" w:rsidP="00A00875">
      <w:pPr>
        <w:pStyle w:val="Para"/>
      </w:pPr>
      <w:r w:rsidRPr="00FD0A28">
        <w:t xml:space="preserve">In relation to wire transfers, FIs should be required to undertake CDD measures as set out in </w:t>
      </w:r>
      <w:r w:rsidR="00E945F4">
        <w:t>R.</w:t>
      </w:r>
      <w:r w:rsidRPr="00FD0A28">
        <w:t xml:space="preserve">10 when carrying out occasional transactions. This includes the </w:t>
      </w:r>
      <w:r w:rsidRPr="00A00875">
        <w:t>requirement</w:t>
      </w:r>
      <w:r w:rsidRPr="00FD0A28">
        <w:t xml:space="preserve"> to identify and take reasonable measures to verify the identity of the beneficial owner of the originator or beneficiary when it is a legal arrangement. In addition, </w:t>
      </w:r>
      <w:r w:rsidR="00E945F4">
        <w:t>R.</w:t>
      </w:r>
      <w:r w:rsidRPr="00FD0A28">
        <w:t xml:space="preserve">16 requires </w:t>
      </w:r>
      <w:r>
        <w:t>FIs</w:t>
      </w:r>
      <w:r w:rsidRPr="00FD0A28">
        <w:t xml:space="preserve"> to take further measures such as collecting certain originator information and ensuring that this information accompanies a wire transfer.</w:t>
      </w:r>
      <w:r w:rsidRPr="00FD0A28">
        <w:rPr>
          <w:rStyle w:val="FootnoteReference"/>
        </w:rPr>
        <w:footnoteReference w:id="35"/>
      </w:r>
      <w:r w:rsidRPr="00FD0A28">
        <w:t xml:space="preserve"> </w:t>
      </w:r>
    </w:p>
    <w:p w14:paraId="273A9C92" w14:textId="77777777" w:rsidR="003A6712" w:rsidRPr="00583023" w:rsidRDefault="003A6712" w:rsidP="003A6712">
      <w:pPr>
        <w:pStyle w:val="Heading3"/>
        <w:numPr>
          <w:ilvl w:val="2"/>
          <w:numId w:val="4"/>
        </w:numPr>
        <w:jc w:val="both"/>
      </w:pPr>
      <w:r w:rsidRPr="00583023">
        <w:lastRenderedPageBreak/>
        <w:t xml:space="preserve">FATF </w:t>
      </w:r>
      <w:r w:rsidR="00E075A8">
        <w:t xml:space="preserve">RBA </w:t>
      </w:r>
      <w:r w:rsidRPr="00583023">
        <w:t>Guidance</w:t>
      </w:r>
    </w:p>
    <w:p w14:paraId="0E9562C3" w14:textId="77777777" w:rsidR="003A6712" w:rsidRPr="00A00875" w:rsidRDefault="003A6712" w:rsidP="00A00875">
      <w:pPr>
        <w:pStyle w:val="Para"/>
      </w:pPr>
      <w:r w:rsidRPr="00583023">
        <w:t>The risk-based approach is central to the effective implementation of the FATF</w:t>
      </w:r>
      <w:r w:rsidR="00E945F4">
        <w:t xml:space="preserve"> Recommendation</w:t>
      </w:r>
      <w:r w:rsidRPr="00583023">
        <w:t xml:space="preserve">. It means that supervisors, </w:t>
      </w:r>
      <w:r>
        <w:t>FIs</w:t>
      </w:r>
      <w:r w:rsidRPr="00583023">
        <w:t xml:space="preserve">, and </w:t>
      </w:r>
      <w:r w:rsidR="001A3BB8">
        <w:t>DNFBPs</w:t>
      </w:r>
      <w:r w:rsidR="001A3BB8" w:rsidRPr="00583023">
        <w:t xml:space="preserve"> </w:t>
      </w:r>
      <w:r w:rsidR="00E075A8">
        <w:t xml:space="preserve">should </w:t>
      </w:r>
      <w:r w:rsidRPr="00583023">
        <w:t xml:space="preserve">identify, assess, and understand the </w:t>
      </w:r>
      <w:r w:rsidRPr="00A00875">
        <w:t xml:space="preserve">ML/TF risks to which they are exposed, and implement the most appropriate mitigation measures. </w:t>
      </w:r>
    </w:p>
    <w:p w14:paraId="13FA7E87" w14:textId="77777777" w:rsidR="003A6712" w:rsidRPr="00A00875" w:rsidRDefault="003A6712" w:rsidP="00A00875">
      <w:pPr>
        <w:pStyle w:val="Para"/>
      </w:pPr>
      <w:r w:rsidRPr="00A00875">
        <w:t xml:space="preserve">The FATF RBA Guidance provides specific guidance for various sectors and their supervisors. The Guidance also highlights the importance of </w:t>
      </w:r>
      <w:r w:rsidR="002C0F6F">
        <w:t>supervising</w:t>
      </w:r>
      <w:r w:rsidRPr="00A00875">
        <w:t xml:space="preserve"> beneficial ownership requirements and nominee arrangements. </w:t>
      </w:r>
      <w:r w:rsidR="00E075A8">
        <w:t>For example, it</w:t>
      </w:r>
      <w:r w:rsidRPr="00A00875">
        <w:t xml:space="preserve"> underscores how supervisory frameworks can help </w:t>
      </w:r>
      <w:r w:rsidR="00E075A8">
        <w:t>determine</w:t>
      </w:r>
      <w:r w:rsidRPr="00A00875">
        <w:t xml:space="preserve"> whether adequate, accurate and up-to-date beneficial ownership information on legal persons and legal arrangements is maintained.</w:t>
      </w:r>
    </w:p>
    <w:p w14:paraId="0BD4B08D" w14:textId="77777777" w:rsidR="003A6712" w:rsidRPr="00583023" w:rsidRDefault="003A6712" w:rsidP="00A00875">
      <w:pPr>
        <w:pStyle w:val="Para"/>
      </w:pPr>
      <w:r w:rsidRPr="00583023">
        <w:t xml:space="preserve">This is </w:t>
      </w:r>
      <w:r w:rsidR="009F0DC0" w:rsidRPr="00583023">
        <w:t>particular</w:t>
      </w:r>
      <w:r w:rsidR="009F0DC0">
        <w:t>ly</w:t>
      </w:r>
      <w:r w:rsidRPr="00583023">
        <w:t xml:space="preserve"> true for TCSPs, lawyers and accountants</w:t>
      </w:r>
      <w:r w:rsidR="00204239">
        <w:t xml:space="preserve"> and, as a result, FATF Guidance to these sectors should </w:t>
      </w:r>
      <w:r w:rsidR="00E075A8">
        <w:t xml:space="preserve">also </w:t>
      </w:r>
      <w:r w:rsidR="00204239">
        <w:t>be considered when applying the requirements of R.25</w:t>
      </w:r>
      <w:r w:rsidRPr="00583023">
        <w:t>.</w:t>
      </w:r>
      <w:r w:rsidRPr="00583023">
        <w:rPr>
          <w:vertAlign w:val="superscript"/>
        </w:rPr>
        <w:footnoteReference w:id="36"/>
      </w:r>
    </w:p>
    <w:p w14:paraId="7985CAD7" w14:textId="77777777" w:rsidR="003A6712" w:rsidRPr="009447C0" w:rsidRDefault="003A6712" w:rsidP="003A6712">
      <w:pPr>
        <w:pStyle w:val="Heading1"/>
        <w:numPr>
          <w:ilvl w:val="0"/>
          <w:numId w:val="4"/>
        </w:numPr>
        <w:ind w:right="680"/>
        <w:jc w:val="both"/>
        <w:rPr>
          <w:lang w:val="en-US"/>
        </w:rPr>
      </w:pPr>
      <w:bookmarkStart w:id="62" w:name="_Toc145618553"/>
      <w:bookmarkStart w:id="63" w:name="_Toc149217186"/>
      <w:r w:rsidRPr="00FD0A28">
        <w:t>International co-operation</w:t>
      </w:r>
      <w:bookmarkEnd w:id="62"/>
      <w:bookmarkEnd w:id="63"/>
    </w:p>
    <w:p w14:paraId="1CC38E19" w14:textId="77777777" w:rsidR="003A6712" w:rsidRPr="00A00875" w:rsidRDefault="003A6712" w:rsidP="00A00875">
      <w:pPr>
        <w:pStyle w:val="Para"/>
      </w:pPr>
      <w:r w:rsidRPr="00FD0A28">
        <w:t xml:space="preserve"> Express trusts and other similar legal arrangements may be used in cross-jurisdictional ML/TF. Effective international </w:t>
      </w:r>
      <w:r w:rsidRPr="00A00875">
        <w:t>co</w:t>
      </w:r>
      <w:r w:rsidR="008553E4">
        <w:t>-</w:t>
      </w:r>
      <w:r w:rsidRPr="00A00875">
        <w:t xml:space="preserve">operation, as set out in FATF </w:t>
      </w:r>
      <w:r w:rsidR="00E945F4">
        <w:t>R.</w:t>
      </w:r>
      <w:r w:rsidRPr="00A00875">
        <w:t xml:space="preserve">37 and </w:t>
      </w:r>
      <w:r w:rsidR="00E945F4">
        <w:t>R.</w:t>
      </w:r>
      <w:r w:rsidRPr="00A00875">
        <w:t>40, requires access, through the full co</w:t>
      </w:r>
      <w:r w:rsidR="008553E4">
        <w:t>-</w:t>
      </w:r>
      <w:r w:rsidRPr="00A00875">
        <w:t xml:space="preserve">operation of jurisdictional authorities, to accurate information on beneficial owners in the context of an international ML/TF investigation. Countries should be able to obtain information, including beneficial ownership information, on express trusts and other similar legal arrangements from other countries. In turn, those countries need to respond to requests from foreign counterparts for information, including beneficial ownership information on express trusts and other similar legal arrangements that may be domestically available. </w:t>
      </w:r>
    </w:p>
    <w:p w14:paraId="152F0F74" w14:textId="77777777" w:rsidR="003A6712" w:rsidRPr="00FD0A28" w:rsidRDefault="003A6712" w:rsidP="00A00875">
      <w:pPr>
        <w:pStyle w:val="Para"/>
      </w:pPr>
      <w:r w:rsidRPr="00A00875">
        <w:t>To ensure that there is a practical level of international co</w:t>
      </w:r>
      <w:r w:rsidR="00F20727">
        <w:t>-</w:t>
      </w:r>
      <w:r w:rsidRPr="00A00875">
        <w:t>operation in relation to information</w:t>
      </w:r>
      <w:r w:rsidRPr="00FD0A28">
        <w:t xml:space="preserve"> on express trusts and other similar legal arrangements, </w:t>
      </w:r>
      <w:r w:rsidR="00E945F4">
        <w:t>R.</w:t>
      </w:r>
      <w:r w:rsidRPr="00FD0A28">
        <w:t>25 contains specific requirements to provide international co</w:t>
      </w:r>
      <w:r w:rsidR="00F20727">
        <w:t>-</w:t>
      </w:r>
      <w:r w:rsidRPr="00FD0A28">
        <w:t xml:space="preserve">operation, including: </w:t>
      </w:r>
    </w:p>
    <w:p w14:paraId="49709BB9" w14:textId="77777777" w:rsidR="003A6712" w:rsidRPr="000D11DC" w:rsidRDefault="003A6712" w:rsidP="00BD75D6">
      <w:pPr>
        <w:pStyle w:val="BulletedList"/>
        <w:numPr>
          <w:ilvl w:val="0"/>
          <w:numId w:val="28"/>
        </w:numPr>
      </w:pPr>
      <w:r w:rsidRPr="00FD0A28">
        <w:t>facilitating access by foreign competent authorities to any information held by registries or other domestic authorities (e.g., by having an efficient mechanism through which foreign authorities can request information</w:t>
      </w:r>
      <w:r w:rsidR="00DE040A" w:rsidRPr="00FD0A28">
        <w:t>).</w:t>
      </w:r>
      <w:r w:rsidRPr="00FD0A28">
        <w:t xml:space="preserve"> </w:t>
      </w:r>
    </w:p>
    <w:p w14:paraId="0012E619" w14:textId="77777777" w:rsidR="003A6712" w:rsidRPr="000D11DC" w:rsidRDefault="003A6712" w:rsidP="00BD75D6">
      <w:pPr>
        <w:pStyle w:val="BulletedList"/>
        <w:numPr>
          <w:ilvl w:val="0"/>
          <w:numId w:val="28"/>
        </w:numPr>
      </w:pPr>
      <w:r w:rsidRPr="00FD0A28">
        <w:t xml:space="preserve">exchanging available information on express trusts or other legal arrangements to enable foreign authorities to quickly move along a chain of legal ownership; and  </w:t>
      </w:r>
    </w:p>
    <w:p w14:paraId="7011F10C" w14:textId="77777777" w:rsidR="003A6712" w:rsidRPr="000D11DC" w:rsidRDefault="003A6712" w:rsidP="00BD75D6">
      <w:pPr>
        <w:pStyle w:val="BulletedList"/>
        <w:numPr>
          <w:ilvl w:val="0"/>
          <w:numId w:val="28"/>
        </w:numPr>
      </w:pPr>
      <w:r w:rsidRPr="00FD0A28">
        <w:t xml:space="preserve">using their competent authorities’ powers, in accordance with domestic law, to obtain beneficial ownership information on behalf of foreign counterparts (e.g., at the request of foreign competent authorities, not only when conducting their own investigations). </w:t>
      </w:r>
    </w:p>
    <w:p w14:paraId="7B593A64" w14:textId="77777777" w:rsidR="003A6712" w:rsidRPr="006955E4" w:rsidRDefault="003A6712" w:rsidP="00A00875">
      <w:pPr>
        <w:pStyle w:val="Para"/>
      </w:pPr>
      <w:r w:rsidRPr="00FD0A28">
        <w:t xml:space="preserve">The exchange of information with a foreign counterpart should avoid unduly restrictive conditions for accessing information, subject to internationally agreed standards. What could be considered as “unduly restrictive conditions on the exchange of information </w:t>
      </w:r>
      <w:r w:rsidRPr="00FD0A28">
        <w:lastRenderedPageBreak/>
        <w:t xml:space="preserve">or </w:t>
      </w:r>
      <w:r w:rsidRPr="00A00875">
        <w:t>assistance</w:t>
      </w:r>
      <w:r w:rsidRPr="00FD0A28">
        <w:t>” may include, inter alia, the refusal of requests for assistance on the grounds that they involve fiscal, including tax,</w:t>
      </w:r>
      <w:r w:rsidRPr="00FD0A28">
        <w:rPr>
          <w:rStyle w:val="FootnoteReference"/>
        </w:rPr>
        <w:footnoteReference w:id="37"/>
      </w:r>
      <w:r w:rsidRPr="00FD0A28">
        <w:t xml:space="preserve"> matters, or on the grounds of bank secrecy. </w:t>
      </w:r>
    </w:p>
    <w:p w14:paraId="2921FE7F" w14:textId="77777777" w:rsidR="003A6712" w:rsidRPr="00A00875" w:rsidRDefault="00DE033E" w:rsidP="00A00875">
      <w:pPr>
        <w:pStyle w:val="Para"/>
      </w:pPr>
      <w:r>
        <w:t>Countries may consider making information on t</w:t>
      </w:r>
      <w:r w:rsidR="003A6712" w:rsidRPr="00FD0A28">
        <w:t xml:space="preserve">he point(s) of contact, agency, or registry information (as applicable) and the procedure </w:t>
      </w:r>
      <w:r w:rsidR="00317325">
        <w:t>for</w:t>
      </w:r>
      <w:r w:rsidR="00317325" w:rsidRPr="00FD0A28">
        <w:t xml:space="preserve"> </w:t>
      </w:r>
      <w:r w:rsidR="003A6712" w:rsidRPr="00FD0A28">
        <w:t xml:space="preserve">accessing or requesting this information, publicly available (e.g., online) </w:t>
      </w:r>
      <w:r w:rsidR="003A6712" w:rsidRPr="00A00875">
        <w:t>or through specific posted guidance on procedures</w:t>
      </w:r>
      <w:r>
        <w:t>, to assist foreign counterparts with requesting assistance or cooperation</w:t>
      </w:r>
      <w:r w:rsidR="003A6712" w:rsidRPr="00A00875">
        <w:t xml:space="preserve">. </w:t>
      </w:r>
    </w:p>
    <w:p w14:paraId="182D24D5" w14:textId="77777777" w:rsidR="00BE4A09" w:rsidRDefault="003A6712" w:rsidP="00885103">
      <w:pPr>
        <w:pStyle w:val="Para"/>
        <w:numPr>
          <w:ilvl w:val="0"/>
          <w:numId w:val="17"/>
        </w:numPr>
      </w:pPr>
      <w:r w:rsidRPr="00A00875">
        <w:t xml:space="preserve">Countries with express trusts and other similar legal arrangements governed under their law should have mechanisms in place to identify and describe the different types, </w:t>
      </w:r>
      <w:r w:rsidR="00874E76" w:rsidRPr="00A00875">
        <w:t>forms,</w:t>
      </w:r>
      <w:r w:rsidRPr="00A00875">
        <w:t xml:space="preserve"> and basic features of express trusts and/or other similar legal arrangements in the country, and to identify and describe the processes for setting up those legal arrangements and</w:t>
      </w:r>
      <w:r w:rsidRPr="00FD0A28">
        <w:t xml:space="preserve"> obtaining beneficial ownership information. In addition, information on such mechanisms should be made publicly available. </w:t>
      </w:r>
    </w:p>
    <w:p w14:paraId="16EAB8ED" w14:textId="77777777" w:rsidR="00D3697A" w:rsidRPr="009F0DC0" w:rsidRDefault="00BE4A09" w:rsidP="00885103">
      <w:pPr>
        <w:pStyle w:val="Para"/>
        <w:numPr>
          <w:ilvl w:val="0"/>
          <w:numId w:val="17"/>
        </w:numPr>
      </w:pPr>
      <w:r>
        <w:t>T</w:t>
      </w:r>
      <w:r w:rsidRPr="00FD0A28">
        <w:t xml:space="preserve">o facilitate the efficient and rapid exchange of beneficial ownership information across </w:t>
      </w:r>
      <w:r>
        <w:t>jurisdictions</w:t>
      </w:r>
      <w:r w:rsidRPr="00FD0A28">
        <w:t xml:space="preserve">, countries </w:t>
      </w:r>
      <w:r>
        <w:t>may consider</w:t>
      </w:r>
      <w:r w:rsidRPr="00FD0A28">
        <w:t xml:space="preserve"> publicis</w:t>
      </w:r>
      <w:r>
        <w:t>ing</w:t>
      </w:r>
      <w:r w:rsidRPr="00FD0A28">
        <w:t xml:space="preserve"> instructions on how to make a formal request for such information, such as through mutual legal assistance, and make contact information for receiving and responding to requests publicly available. Countries </w:t>
      </w:r>
      <w:r>
        <w:t>may wish to</w:t>
      </w:r>
      <w:r w:rsidRPr="00FD0A28">
        <w:t xml:space="preserve"> designate the appropriate agency(</w:t>
      </w:r>
      <w:proofErr w:type="spellStart"/>
      <w:r w:rsidRPr="00FD0A28">
        <w:t>ies</w:t>
      </w:r>
      <w:proofErr w:type="spellEnd"/>
      <w:r w:rsidRPr="00FD0A28">
        <w:t xml:space="preserve">) (e.g., ministries or agencies with registry jurisdiction) responsible for receiving and processing foreign requests for beneficial ownership information and provide clear guidance to foreign counterparts on the process for requesting information with clear requirements, as well as any restrictions, for the requested information. Countries </w:t>
      </w:r>
      <w:r>
        <w:t>may also consider having in</w:t>
      </w:r>
      <w:r w:rsidRPr="00FD0A28">
        <w:t xml:space="preserve"> place an adequate internal procedure for interagency cooperation amongst relevant competent authorities in processing such requests. A defined, reasonable response time should be transparently reflected in the procedure.</w:t>
      </w:r>
      <w:r w:rsidR="00D3697A" w:rsidRPr="009F0DC0">
        <w:rPr>
          <w:lang w:val="en-US"/>
        </w:rPr>
        <w:br w:type="page"/>
      </w:r>
    </w:p>
    <w:p w14:paraId="45C522C1" w14:textId="77777777" w:rsidR="00D3697A" w:rsidRDefault="003D32AD" w:rsidP="00D3697A">
      <w:pPr>
        <w:pStyle w:val="Heading7"/>
        <w:rPr>
          <w:lang w:val="en-US"/>
        </w:rPr>
      </w:pPr>
      <w:bookmarkStart w:id="64" w:name="_Toc149217187"/>
      <w:r>
        <w:rPr>
          <w:lang w:val="en-US"/>
        </w:rPr>
        <w:lastRenderedPageBreak/>
        <w:t xml:space="preserve">Trust </w:t>
      </w:r>
      <w:r w:rsidR="00D3697A">
        <w:rPr>
          <w:lang w:val="en-US"/>
        </w:rPr>
        <w:t>Purposes</w:t>
      </w:r>
      <w:bookmarkEnd w:id="64"/>
      <w:r w:rsidR="00D3697A">
        <w:rPr>
          <w:lang w:val="en-US"/>
        </w:rPr>
        <w:t xml:space="preserve"> </w:t>
      </w:r>
    </w:p>
    <w:p w14:paraId="36D32AF8" w14:textId="77777777" w:rsidR="00D3697A" w:rsidRPr="00D3697A" w:rsidRDefault="00D3697A" w:rsidP="00D3697A">
      <w:pPr>
        <w:pStyle w:val="Para0"/>
        <w:rPr>
          <w:b/>
          <w:bCs/>
          <w:i/>
          <w:iCs/>
        </w:rPr>
      </w:pPr>
      <w:r w:rsidRPr="00D3697A">
        <w:rPr>
          <w:b/>
          <w:bCs/>
          <w:i/>
          <w:iCs/>
        </w:rPr>
        <w:t>Asset protection</w:t>
      </w:r>
    </w:p>
    <w:p w14:paraId="5E24324D" w14:textId="77777777" w:rsidR="00D3697A" w:rsidRPr="00D3697A" w:rsidRDefault="00D3697A" w:rsidP="003D32AD">
      <w:pPr>
        <w:pStyle w:val="Para"/>
        <w:numPr>
          <w:ilvl w:val="0"/>
          <w:numId w:val="0"/>
        </w:numPr>
        <w:ind w:left="680"/>
      </w:pPr>
      <w:r w:rsidRPr="00D3697A">
        <w:t>Trusts are regularly used to preserve assets from perceived external risk, for example:</w:t>
      </w:r>
    </w:p>
    <w:p w14:paraId="2DAA9562" w14:textId="77777777" w:rsidR="00D3697A" w:rsidRPr="00D3697A" w:rsidRDefault="00D3697A" w:rsidP="004F470D">
      <w:pPr>
        <w:pStyle w:val="BulletedList"/>
      </w:pPr>
      <w:r w:rsidRPr="00D3697A">
        <w:t>the death of a settlor</w:t>
      </w:r>
    </w:p>
    <w:p w14:paraId="0431892D" w14:textId="77777777" w:rsidR="00D3697A" w:rsidRPr="00D3697A" w:rsidRDefault="00D3697A" w:rsidP="004F470D">
      <w:pPr>
        <w:pStyle w:val="BulletedList"/>
      </w:pPr>
      <w:r w:rsidRPr="00D3697A">
        <w:t xml:space="preserve">wasteful actions of the beneficiary </w:t>
      </w:r>
    </w:p>
    <w:p w14:paraId="7B683C24" w14:textId="77777777" w:rsidR="00D3697A" w:rsidRPr="00D3697A" w:rsidRDefault="00D3697A" w:rsidP="004F470D">
      <w:pPr>
        <w:pStyle w:val="BulletedList"/>
      </w:pPr>
      <w:r w:rsidRPr="00D3697A">
        <w:t>divorce actions</w:t>
      </w:r>
    </w:p>
    <w:p w14:paraId="68D82524" w14:textId="77777777" w:rsidR="00D3697A" w:rsidRPr="00D3697A" w:rsidRDefault="00D3697A" w:rsidP="004F470D">
      <w:pPr>
        <w:pStyle w:val="BulletedList"/>
      </w:pPr>
      <w:r w:rsidRPr="00D3697A">
        <w:t xml:space="preserve">claims by creditors or risk of </w:t>
      </w:r>
      <w:proofErr w:type="gramStart"/>
      <w:r w:rsidRPr="00D3697A">
        <w:t>bankruptcy</w:t>
      </w:r>
      <w:proofErr w:type="gramEnd"/>
    </w:p>
    <w:p w14:paraId="4715BDDB" w14:textId="77777777" w:rsidR="00D3697A" w:rsidRPr="00D3697A" w:rsidRDefault="00D3697A" w:rsidP="004F470D">
      <w:pPr>
        <w:pStyle w:val="BulletedList"/>
      </w:pPr>
      <w:r w:rsidRPr="00D3697A">
        <w:t xml:space="preserve">forced heirship </w:t>
      </w:r>
      <w:proofErr w:type="gramStart"/>
      <w:r w:rsidRPr="00D3697A">
        <w:t>provisions</w:t>
      </w:r>
      <w:proofErr w:type="gramEnd"/>
      <w:r w:rsidRPr="00D3697A">
        <w:t xml:space="preserve"> </w:t>
      </w:r>
    </w:p>
    <w:p w14:paraId="282143FD" w14:textId="77777777" w:rsidR="00D3697A" w:rsidRPr="00D3697A" w:rsidRDefault="00D3697A" w:rsidP="004F470D">
      <w:pPr>
        <w:pStyle w:val="BulletedList"/>
      </w:pPr>
      <w:r w:rsidRPr="00D3697A">
        <w:t xml:space="preserve">concerns about political </w:t>
      </w:r>
      <w:proofErr w:type="gramStart"/>
      <w:r w:rsidRPr="00D3697A">
        <w:t>uncertainty</w:t>
      </w:r>
      <w:proofErr w:type="gramEnd"/>
      <w:r w:rsidRPr="00D3697A">
        <w:t xml:space="preserve"> </w:t>
      </w:r>
    </w:p>
    <w:p w14:paraId="1F3A1B0D" w14:textId="77777777" w:rsidR="00D3697A" w:rsidRPr="00D3697A" w:rsidRDefault="00D3697A" w:rsidP="00D3697A">
      <w:pPr>
        <w:pStyle w:val="Para0"/>
        <w:rPr>
          <w:b/>
          <w:bCs/>
          <w:i/>
          <w:iCs/>
        </w:rPr>
      </w:pPr>
      <w:r w:rsidRPr="00D3697A">
        <w:rPr>
          <w:b/>
          <w:bCs/>
          <w:i/>
          <w:iCs/>
        </w:rPr>
        <w:t>Asset management</w:t>
      </w:r>
    </w:p>
    <w:p w14:paraId="132C88E8" w14:textId="77777777" w:rsidR="00D3697A" w:rsidRPr="00D3697A" w:rsidRDefault="00D3697A" w:rsidP="003D32AD">
      <w:pPr>
        <w:pStyle w:val="Para0"/>
      </w:pPr>
      <w:r w:rsidRPr="00D3697A">
        <w:t>The ability to hold assets with, and have those assets managed by, a trusted decision maker for the trust beneficiaries is central to the use of many trusts. Examples include where:</w:t>
      </w:r>
    </w:p>
    <w:p w14:paraId="2E8CF530" w14:textId="77777777" w:rsidR="00D3697A" w:rsidRPr="00D3697A" w:rsidRDefault="00D3697A" w:rsidP="004F470D">
      <w:pPr>
        <w:pStyle w:val="BulletedList"/>
      </w:pPr>
      <w:r w:rsidRPr="00D3697A">
        <w:t>there is concern about the beneficiary’s current future or capacity, understanding and responsibility to own the assets outright (</w:t>
      </w:r>
      <w:proofErr w:type="gramStart"/>
      <w:r w:rsidRPr="00D3697A">
        <w:t>e.g.</w:t>
      </w:r>
      <w:proofErr w:type="gramEnd"/>
      <w:r w:rsidRPr="00D3697A">
        <w:t xml:space="preserve"> the person is a minor or wants to ensure responsible management as the person ages and risks becoming incapacitated)</w:t>
      </w:r>
    </w:p>
    <w:p w14:paraId="70A70229" w14:textId="77777777" w:rsidR="00D3697A" w:rsidRPr="00D3697A" w:rsidRDefault="00D3697A" w:rsidP="004F470D">
      <w:pPr>
        <w:pStyle w:val="BulletedList"/>
      </w:pPr>
      <w:r w:rsidRPr="00D3697A">
        <w:t xml:space="preserve">the beneficiary suffers from a mental incapacity or severe disability that prevents them from managing their </w:t>
      </w:r>
      <w:proofErr w:type="gramStart"/>
      <w:r w:rsidRPr="00D3697A">
        <w:t>affairs</w:t>
      </w:r>
      <w:proofErr w:type="gramEnd"/>
    </w:p>
    <w:p w14:paraId="520AC2EC" w14:textId="77777777" w:rsidR="00D3697A" w:rsidRPr="00D3697A" w:rsidRDefault="00D3697A" w:rsidP="004F470D">
      <w:pPr>
        <w:pStyle w:val="BulletedList"/>
      </w:pPr>
      <w:r w:rsidRPr="00D3697A">
        <w:t xml:space="preserve">the beneficiary is considered </w:t>
      </w:r>
      <w:proofErr w:type="gramStart"/>
      <w:r w:rsidRPr="00D3697A">
        <w:t>impressionable</w:t>
      </w:r>
      <w:proofErr w:type="gramEnd"/>
    </w:p>
    <w:p w14:paraId="01E4C476" w14:textId="77777777" w:rsidR="00D3697A" w:rsidRPr="00D3697A" w:rsidRDefault="00D3697A" w:rsidP="004F470D">
      <w:pPr>
        <w:pStyle w:val="BulletedList"/>
      </w:pPr>
      <w:r w:rsidRPr="00D3697A">
        <w:t xml:space="preserve">regulation prevents the beneficiary from owning the </w:t>
      </w:r>
      <w:proofErr w:type="gramStart"/>
      <w:r w:rsidRPr="00D3697A">
        <w:t>asset</w:t>
      </w:r>
      <w:proofErr w:type="gramEnd"/>
    </w:p>
    <w:p w14:paraId="4051857C" w14:textId="77777777" w:rsidR="00D3697A" w:rsidRPr="00D3697A" w:rsidRDefault="00D3697A" w:rsidP="004F470D">
      <w:pPr>
        <w:pStyle w:val="BulletedList"/>
      </w:pPr>
      <w:r w:rsidRPr="00D3697A">
        <w:t xml:space="preserve">independent oversight of assets is </w:t>
      </w:r>
      <w:proofErr w:type="gramStart"/>
      <w:r w:rsidRPr="00D3697A">
        <w:t>required</w:t>
      </w:r>
      <w:proofErr w:type="gramEnd"/>
      <w:r w:rsidRPr="00D3697A">
        <w:t xml:space="preserve"> </w:t>
      </w:r>
    </w:p>
    <w:p w14:paraId="127ABCBF" w14:textId="77777777" w:rsidR="00D3697A" w:rsidRPr="00D3697A" w:rsidRDefault="003D32AD" w:rsidP="004F470D">
      <w:pPr>
        <w:pStyle w:val="BulletedList"/>
      </w:pPr>
      <w:r>
        <w:t xml:space="preserve">to set up </w:t>
      </w:r>
      <w:r w:rsidR="00D3697A" w:rsidRPr="00D3697A">
        <w:t xml:space="preserve">'spendthrift trusts' </w:t>
      </w:r>
      <w:r w:rsidR="00742F95">
        <w:t>(where the beneficiary has limited access to assets)</w:t>
      </w:r>
    </w:p>
    <w:p w14:paraId="09A79593" w14:textId="77777777" w:rsidR="00D3697A" w:rsidRPr="00D3697A" w:rsidRDefault="00D3697A" w:rsidP="004F470D">
      <w:pPr>
        <w:pStyle w:val="BulletedList"/>
      </w:pPr>
      <w:r w:rsidRPr="00D3697A">
        <w:t xml:space="preserve">to prevent a beneficiary from obligating </w:t>
      </w:r>
      <w:proofErr w:type="spellStart"/>
      <w:r w:rsidRPr="00D3697A">
        <w:t>trusts</w:t>
      </w:r>
      <w:proofErr w:type="spellEnd"/>
      <w:r w:rsidRPr="00D3697A">
        <w:t xml:space="preserve"> assets for debt obligations</w:t>
      </w:r>
    </w:p>
    <w:p w14:paraId="7D21E5FD" w14:textId="77777777" w:rsidR="00D3697A" w:rsidRPr="00D3697A" w:rsidRDefault="003D32AD" w:rsidP="004F470D">
      <w:pPr>
        <w:pStyle w:val="BulletedList"/>
      </w:pPr>
      <w:r>
        <w:t>to ensure b</w:t>
      </w:r>
      <w:r w:rsidR="00D3697A" w:rsidRPr="00D3697A">
        <w:t>usiness continuity</w:t>
      </w:r>
    </w:p>
    <w:p w14:paraId="188126F4" w14:textId="77777777" w:rsidR="00D3697A" w:rsidRPr="00D3697A" w:rsidRDefault="00D3697A" w:rsidP="003D32AD">
      <w:pPr>
        <w:pStyle w:val="Para0"/>
      </w:pPr>
      <w:r w:rsidRPr="00D3697A">
        <w:t>From an operational perspective, trusts may be used to separate the management of the business from the enjoyment of the underlying proceeds and prevent fragmentation or dilution of ownership.</w:t>
      </w:r>
    </w:p>
    <w:p w14:paraId="2DC024DA" w14:textId="77777777" w:rsidR="003D32AD" w:rsidRPr="00D3697A" w:rsidRDefault="00D3697A" w:rsidP="00AE7D12">
      <w:pPr>
        <w:pStyle w:val="Para0"/>
      </w:pPr>
      <w:r w:rsidRPr="00D3697A">
        <w:t>The continuity of management may help to ensure that the assets are not prone to short-term views and may reduce the potential disruptions to an asset owned by the trust (such as commercial real estate or a closely held business) that might otherwise stem from individual ownership, helping to ensure stability for all beneficiaries and for the asset or business itself. With ownership being held in trust, those beneficiaries who are less directly involved in the day-to-day activities may be given a share in the value of the business, and may benefit from an income stream, without acquiring the control that comes with outright ownership.</w:t>
      </w:r>
    </w:p>
    <w:p w14:paraId="3F527A3D" w14:textId="77777777" w:rsidR="00D3697A" w:rsidRPr="00D3697A" w:rsidRDefault="00D3697A" w:rsidP="00D3697A">
      <w:pPr>
        <w:pStyle w:val="Para0"/>
        <w:rPr>
          <w:b/>
          <w:bCs/>
          <w:i/>
          <w:iCs/>
        </w:rPr>
      </w:pPr>
      <w:r w:rsidRPr="00D3697A">
        <w:rPr>
          <w:b/>
          <w:bCs/>
          <w:i/>
          <w:iCs/>
        </w:rPr>
        <w:t>Privacy</w:t>
      </w:r>
    </w:p>
    <w:p w14:paraId="5A285518" w14:textId="77777777" w:rsidR="00D3697A" w:rsidRDefault="00D3697A" w:rsidP="003D32AD">
      <w:pPr>
        <w:pStyle w:val="Para0"/>
      </w:pPr>
      <w:r w:rsidRPr="00D3697A">
        <w:t xml:space="preserve">Trusts provide a layer of privacy. This may be considered important for cases such as the security and safety of high-profile individuals or managing expectations of beneficiaries </w:t>
      </w:r>
      <w:r w:rsidRPr="00D3697A">
        <w:lastRenderedPageBreak/>
        <w:t>(for example, to reduce the risk of providing a disincentive for a beneficiary to develop their own skills and self-sufficiency).</w:t>
      </w:r>
    </w:p>
    <w:p w14:paraId="585558E0" w14:textId="77777777" w:rsidR="00DE033E" w:rsidRDefault="00DE033E" w:rsidP="00DE033E">
      <w:pPr>
        <w:pStyle w:val="Para0"/>
        <w:rPr>
          <w:b/>
          <w:bCs/>
          <w:i/>
          <w:iCs/>
        </w:rPr>
      </w:pPr>
      <w:r>
        <w:rPr>
          <w:b/>
          <w:bCs/>
          <w:i/>
          <w:iCs/>
        </w:rPr>
        <w:t>Overcoming legal obstacles</w:t>
      </w:r>
    </w:p>
    <w:p w14:paraId="5D3F7D70" w14:textId="77777777" w:rsidR="00DE033E" w:rsidRPr="00D3697A" w:rsidRDefault="00DE033E" w:rsidP="00DE033E">
      <w:pPr>
        <w:pStyle w:val="Para0"/>
      </w:pPr>
      <w:r w:rsidRPr="00DE033E">
        <w:t xml:space="preserve">Some jurisdictions </w:t>
      </w:r>
      <w:r>
        <w:t>impose limits on who can own assets. For example, you may need to be a resident of the country to own real property there. Appointing a resident trustee to own the asset on your behalf (or on behalf of a number of entities) overcome such rules.</w:t>
      </w:r>
    </w:p>
    <w:p w14:paraId="67BC1963" w14:textId="77777777" w:rsidR="003D32AD" w:rsidRPr="003D32AD" w:rsidRDefault="00D3697A" w:rsidP="003D32AD">
      <w:pPr>
        <w:pStyle w:val="Para0"/>
        <w:rPr>
          <w:b/>
          <w:bCs/>
          <w:i/>
          <w:iCs/>
        </w:rPr>
      </w:pPr>
      <w:r w:rsidRPr="00D3697A">
        <w:rPr>
          <w:b/>
          <w:bCs/>
          <w:i/>
          <w:iCs/>
        </w:rPr>
        <w:t>Tax optimisation</w:t>
      </w:r>
    </w:p>
    <w:p w14:paraId="3626D3CA" w14:textId="77777777" w:rsidR="00D3697A" w:rsidRPr="00D3697A" w:rsidRDefault="00D3697A" w:rsidP="003D32AD">
      <w:pPr>
        <w:pStyle w:val="Para0"/>
      </w:pPr>
      <w:r w:rsidRPr="00D3697A">
        <w:t>In some countries, trusts may be exempt from income tax and other types of tax or may be taxed at a lower rate compared to companies or the tax rate imposed on beneficiaries in a country in which the beneficiary would be subject to taxation. (However, in some jurisdictions, trusts are taxed at a significantly higher effective rate than individual beneficiaries.)</w:t>
      </w:r>
    </w:p>
    <w:p w14:paraId="0A97CAA5" w14:textId="77777777" w:rsidR="00D3697A" w:rsidRPr="00D3697A" w:rsidRDefault="00D3697A" w:rsidP="003D32AD">
      <w:pPr>
        <w:pStyle w:val="Para0"/>
      </w:pPr>
      <w:r w:rsidRPr="00D3697A">
        <w:t>Identifying the trustees in a jurisdiction where the trustees are tax-exempt avoids the potential for double taxation or a lack of proper reliefs between the countries. This, and the ability to make appointments to beneficiaries at the time of the trustees’ choosing, can delay the time when taxation arises on a beneficiary.</w:t>
      </w:r>
    </w:p>
    <w:p w14:paraId="7C45E2BF" w14:textId="77777777" w:rsidR="00D3697A" w:rsidRPr="00D3697A" w:rsidRDefault="00D3697A" w:rsidP="00D3697A">
      <w:pPr>
        <w:pStyle w:val="Para0"/>
        <w:rPr>
          <w:b/>
          <w:bCs/>
          <w:i/>
          <w:iCs/>
        </w:rPr>
      </w:pPr>
      <w:r w:rsidRPr="00D3697A">
        <w:rPr>
          <w:b/>
          <w:bCs/>
          <w:i/>
          <w:iCs/>
        </w:rPr>
        <w:t>Estate planning and probate</w:t>
      </w:r>
    </w:p>
    <w:p w14:paraId="2018AC2E" w14:textId="77777777" w:rsidR="00D3697A" w:rsidRPr="00D3697A" w:rsidRDefault="00D3697A" w:rsidP="003D32AD">
      <w:pPr>
        <w:pStyle w:val="Para0"/>
      </w:pPr>
      <w:r w:rsidRPr="00D3697A">
        <w:t>Trusts may be useful in the context of estate planning as they provide continuity of management and administration of interests in property, as well as the ability to create and protect future interests in property for people who are not presently ascertainable (such as unborn descendants of the trust’s grantor). In addition, this continuity of management is important during the grantor’s life, thereby avoiding the difficulties of managing the property of an incapacitated adult under a power of attorney that often is not recognized by financial institutions or others.</w:t>
      </w:r>
    </w:p>
    <w:p w14:paraId="6D921EAD" w14:textId="77777777" w:rsidR="00D3697A" w:rsidRPr="00D3697A" w:rsidRDefault="00D3697A" w:rsidP="003D32AD">
      <w:pPr>
        <w:pStyle w:val="Para0"/>
      </w:pPr>
      <w:r w:rsidRPr="00D3697A">
        <w:t>Trusts may also play a role in avoiding probate delays, costs and formalities that would otherwise arise on the death of a testator who owns the assets in his or her sole name personally. As legal title to the trust assets is held by the trustee, there is continuity of ownership which is unaffected by the death of the settlor (or a beneficiary). This may avoid practical issues and delays such as where a bank account would otherwise be “frozen” pending the grant of probate; or where assets are owned in different countries.</w:t>
      </w:r>
    </w:p>
    <w:p w14:paraId="19AFB502" w14:textId="77777777" w:rsidR="00D3697A" w:rsidRPr="00D3697A" w:rsidRDefault="00D3697A" w:rsidP="00D3697A">
      <w:pPr>
        <w:pStyle w:val="Para0"/>
        <w:rPr>
          <w:b/>
          <w:bCs/>
          <w:i/>
          <w:iCs/>
        </w:rPr>
      </w:pPr>
      <w:r w:rsidRPr="00D3697A">
        <w:rPr>
          <w:b/>
          <w:bCs/>
          <w:i/>
          <w:iCs/>
        </w:rPr>
        <w:t>Investment or commercial holding vehicle</w:t>
      </w:r>
    </w:p>
    <w:p w14:paraId="04BFBF68" w14:textId="77777777" w:rsidR="00D3697A" w:rsidRPr="00D3697A" w:rsidRDefault="00D3697A" w:rsidP="003D32AD">
      <w:pPr>
        <w:pStyle w:val="Para0"/>
      </w:pPr>
      <w:r w:rsidRPr="00D3697A">
        <w:t>Trusts may be used as a holding vehicle for joint investments, such as unit trust type arrangements and pension funds.</w:t>
      </w:r>
    </w:p>
    <w:p w14:paraId="4B1EBCAA" w14:textId="77777777" w:rsidR="00D3697A" w:rsidRPr="00D3697A" w:rsidRDefault="00D3697A" w:rsidP="003D32AD">
      <w:pPr>
        <w:pStyle w:val="Para0"/>
      </w:pPr>
      <w:r w:rsidRPr="00D3697A">
        <w:t>Trusts can be used for conducting certain commercial operations, such as to:</w:t>
      </w:r>
    </w:p>
    <w:p w14:paraId="7538B553" w14:textId="77777777" w:rsidR="00D3697A" w:rsidRPr="00D3697A" w:rsidRDefault="00D3697A" w:rsidP="004F470D">
      <w:pPr>
        <w:pStyle w:val="BulletedList"/>
      </w:pPr>
      <w:r w:rsidRPr="00D3697A">
        <w:t>ring-fence funds to ensure consumer protection (</w:t>
      </w:r>
      <w:r w:rsidR="00AE7D12" w:rsidRPr="00D3697A">
        <w:t>e.g.,</w:t>
      </w:r>
      <w:r w:rsidRPr="00D3697A">
        <w:t xml:space="preserve"> landlords holding tenants’ deposits or travel companies holding funds provided for holidays)</w:t>
      </w:r>
    </w:p>
    <w:p w14:paraId="1B911CC0" w14:textId="77777777" w:rsidR="00D3697A" w:rsidRPr="00D3697A" w:rsidRDefault="00D3697A" w:rsidP="004F470D">
      <w:pPr>
        <w:pStyle w:val="BulletedList"/>
      </w:pPr>
      <w:r w:rsidRPr="00D3697A">
        <w:t>ring-fence funds for employees (</w:t>
      </w:r>
      <w:r w:rsidR="00AE7D12" w:rsidRPr="00D3697A">
        <w:t>e.g.,</w:t>
      </w:r>
      <w:r w:rsidRPr="00D3697A">
        <w:t xml:space="preserve"> group life policies that provide lump sum death benefits)</w:t>
      </w:r>
    </w:p>
    <w:p w14:paraId="2908C54C" w14:textId="77777777" w:rsidR="00D3697A" w:rsidRPr="00D3697A" w:rsidRDefault="00D3697A" w:rsidP="004F470D">
      <w:pPr>
        <w:pStyle w:val="BulletedList"/>
      </w:pPr>
      <w:r w:rsidRPr="00D3697A">
        <w:t>fulfil a future obligation (</w:t>
      </w:r>
      <w:r w:rsidR="00AE7D12" w:rsidRPr="00D3697A">
        <w:t>e.g.,</w:t>
      </w:r>
      <w:r w:rsidRPr="00D3697A">
        <w:t xml:space="preserve"> the provision of funeral services or building maintenance services; or in relation to the future decommissioning of oil fields)</w:t>
      </w:r>
    </w:p>
    <w:p w14:paraId="5085BC64" w14:textId="77777777" w:rsidR="00D3697A" w:rsidRPr="00D3697A" w:rsidRDefault="00D3697A" w:rsidP="004F470D">
      <w:pPr>
        <w:pStyle w:val="BulletedList"/>
      </w:pPr>
      <w:r w:rsidRPr="00D3697A">
        <w:t>provide security for contracts (</w:t>
      </w:r>
      <w:r w:rsidR="00AE7D12" w:rsidRPr="00D3697A">
        <w:t>e.g.,</w:t>
      </w:r>
      <w:r w:rsidRPr="00D3697A">
        <w:t xml:space="preserve"> amounts of additional contingent consideration on the sale of shares or assets; or in relation to financial market bond issues)</w:t>
      </w:r>
    </w:p>
    <w:p w14:paraId="3599229E" w14:textId="77777777" w:rsidR="00D3697A" w:rsidRPr="00D3697A" w:rsidRDefault="00D3697A" w:rsidP="00D3697A">
      <w:pPr>
        <w:pStyle w:val="Para0"/>
      </w:pPr>
    </w:p>
    <w:sectPr w:rsidR="00D3697A" w:rsidRPr="00D3697A" w:rsidSect="00E76A87">
      <w:headerReference w:type="even" r:id="rId12"/>
      <w:headerReference w:type="default" r:id="rId13"/>
      <w:footerReference w:type="even" r:id="rId14"/>
      <w:footerReference w:type="default" r:id="rId15"/>
      <w:footnotePr>
        <w:numRestart w:val="eachSect"/>
      </w:footnotePr>
      <w:endnotePr>
        <w:numFmt w:val="decimal"/>
        <w:numRestart w:val="eachSect"/>
      </w:endnotePr>
      <w:type w:val="continuous"/>
      <w:pgSz w:w="11906" w:h="16838" w:code="9"/>
      <w:pgMar w:top="1814" w:right="1304" w:bottom="1758" w:left="1304" w:header="1247"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F4AE9" w14:textId="77777777" w:rsidR="006855C0" w:rsidRDefault="006855C0" w:rsidP="00CC3749"/>
  </w:endnote>
  <w:endnote w:type="continuationSeparator" w:id="0">
    <w:p w14:paraId="2BD08512" w14:textId="77777777" w:rsidR="006855C0" w:rsidRPr="00CF4424" w:rsidRDefault="006855C0" w:rsidP="00CF4424">
      <w:pPr>
        <w:pStyle w:val="Footer"/>
        <w:jc w:val="both"/>
      </w:pPr>
    </w:p>
  </w:endnote>
  <w:endnote w:type="continuationNotice" w:id="1">
    <w:p w14:paraId="5264448E" w14:textId="77777777" w:rsidR="006855C0" w:rsidRDefault="006855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tLink">
    <w:panose1 w:val="02000000000000000000"/>
    <w:charset w:val="00"/>
    <w:family w:val="auto"/>
    <w:pitch w:val="variable"/>
    <w:sig w:usb0="8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Document Title"/>
      <w:tag w:val="FooterDocTitle"/>
      <w:id w:val="1217002386"/>
      <w:lock w:val="sdtLocked"/>
      <w:showingPlcHdr/>
    </w:sdtPr>
    <w:sdtEndPr/>
    <w:sdtContent>
      <w:p w14:paraId="4F371843" w14:textId="4A15EAE5" w:rsidR="00E76A87" w:rsidRDefault="00CD58D3" w:rsidP="004E100F">
        <w:pPr>
          <w:pStyle w:val="Footer"/>
          <w:jc w:val="right"/>
        </w:pPr>
        <w:r>
          <w:t xml:space="preserve">     </w:t>
        </w:r>
      </w:p>
    </w:sdtContent>
  </w:sdt>
  <w:sdt>
    <w:sdtPr>
      <w:alias w:val="Classification"/>
      <w:tag w:val="txtHeaderClassif"/>
      <w:id w:val="-1918931641"/>
      <w:lock w:val="sdtLocked"/>
      <w:showingPlcHdr/>
    </w:sdtPr>
    <w:sdtEndPr/>
    <w:sdtContent>
      <w:p w14:paraId="0FAA9BE2" w14:textId="2AC13F89" w:rsidR="00E76A87" w:rsidRDefault="00CD58D3" w:rsidP="004E100F">
        <w:pPr>
          <w:pStyle w:val="FooterClassification"/>
          <w:jc w:val="left"/>
        </w:pPr>
        <w: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Document Title"/>
      <w:tag w:val="FooterDocTitle"/>
      <w:id w:val="-1884096409"/>
      <w:lock w:val="sdtLocked"/>
      <w:showingPlcHdr/>
    </w:sdtPr>
    <w:sdtEndPr/>
    <w:sdtContent>
      <w:p w14:paraId="4B4F7B6E" w14:textId="20EBB951" w:rsidR="00E76A87" w:rsidRPr="00FD7BD8" w:rsidRDefault="00CD58D3" w:rsidP="004E100F">
        <w:pPr>
          <w:pStyle w:val="Footer"/>
          <w:jc w:val="left"/>
          <w:rPr>
            <w:caps w:val="0"/>
            <w:szCs w:val="16"/>
          </w:rPr>
        </w:pPr>
        <w:r>
          <w:t xml:space="preserve">     </w:t>
        </w:r>
      </w:p>
    </w:sdtContent>
  </w:sdt>
  <w:sdt>
    <w:sdtPr>
      <w:alias w:val="Classification"/>
      <w:tag w:val="txtHeaderClassif"/>
      <w:id w:val="-311407045"/>
      <w:lock w:val="sdtLocked"/>
      <w:showingPlcHdr/>
    </w:sdtPr>
    <w:sdtEndPr/>
    <w:sdtContent>
      <w:p w14:paraId="433EF7B0" w14:textId="3B6C58E4" w:rsidR="00E76A87" w:rsidRPr="00FD7BD8" w:rsidRDefault="00CD58D3" w:rsidP="004E100F">
        <w:pPr>
          <w:pStyle w:val="FooterClassification"/>
          <w:rPr>
            <w:szCs w:val="16"/>
          </w:rPr>
        </w:pP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959C9" w14:textId="77777777" w:rsidR="006855C0" w:rsidRDefault="006855C0" w:rsidP="00CC3749">
      <w:r>
        <w:separator/>
      </w:r>
    </w:p>
  </w:footnote>
  <w:footnote w:type="continuationSeparator" w:id="0">
    <w:p w14:paraId="4F1457DC" w14:textId="77777777" w:rsidR="006855C0" w:rsidRDefault="006855C0" w:rsidP="00CC3749">
      <w:r>
        <w:continuationSeparator/>
      </w:r>
    </w:p>
  </w:footnote>
  <w:footnote w:type="continuationNotice" w:id="1">
    <w:p w14:paraId="4C72A1BA" w14:textId="77777777" w:rsidR="006855C0" w:rsidRDefault="006855C0"/>
  </w:footnote>
  <w:footnote w:id="2">
    <w:p w14:paraId="38A8362A" w14:textId="77777777" w:rsidR="008C2404" w:rsidRPr="008C2404" w:rsidRDefault="008C2404" w:rsidP="001B7C71">
      <w:pPr>
        <w:pStyle w:val="FootnoteText"/>
        <w:spacing w:after="0"/>
        <w:rPr>
          <w:rStyle w:val="FootnoteReference"/>
        </w:rPr>
      </w:pPr>
      <w:r w:rsidRPr="008C2404">
        <w:rPr>
          <w:rStyle w:val="FootnoteReference"/>
        </w:rPr>
        <w:footnoteRef/>
      </w:r>
      <w:r w:rsidRPr="008C2404">
        <w:rPr>
          <w:rStyle w:val="FootnoteReference"/>
        </w:rPr>
        <w:t xml:space="preserve"> Hereinafter references to “trusts” should be interpreted as referring to express trusts as distinct from implied trusts in line with the FATF Glossary</w:t>
      </w:r>
    </w:p>
  </w:footnote>
  <w:footnote w:id="3">
    <w:p w14:paraId="2832B53D" w14:textId="77777777" w:rsidR="00386A6C" w:rsidRPr="00F25ADC" w:rsidRDefault="00386A6C" w:rsidP="001B7C71">
      <w:pPr>
        <w:pStyle w:val="FootnoteText"/>
        <w:spacing w:after="0"/>
        <w:rPr>
          <w:rFonts w:ascii="Cambria" w:hAnsi="Cambria" w:cs="Cambria"/>
          <w:sz w:val="18"/>
          <w:szCs w:val="18"/>
        </w:rPr>
      </w:pPr>
      <w:r w:rsidRPr="00BD75D6">
        <w:rPr>
          <w:rStyle w:val="FootnoteReference"/>
        </w:rPr>
        <w:footnoteRef/>
      </w:r>
      <w:r w:rsidR="00EF0C02">
        <w:t xml:space="preserve"> </w:t>
      </w:r>
      <w:r w:rsidR="00F25ADC" w:rsidRPr="00BD75D6">
        <w:rPr>
          <w:rStyle w:val="FootnoteReference"/>
        </w:rPr>
        <w:t xml:space="preserve">The FATF Glossary defines legal arrangement as “…express trusts and other similar legal arrangements. Examples of other similar arrangements (for AML/CFT purposes) may include but are not limited to </w:t>
      </w:r>
      <w:proofErr w:type="spellStart"/>
      <w:r w:rsidR="00F25ADC" w:rsidRPr="00BD75D6">
        <w:rPr>
          <w:rStyle w:val="FootnoteReference"/>
        </w:rPr>
        <w:t>fiducie</w:t>
      </w:r>
      <w:proofErr w:type="spellEnd"/>
      <w:r w:rsidR="00F25ADC" w:rsidRPr="00BD75D6">
        <w:rPr>
          <w:rStyle w:val="FootnoteReference"/>
        </w:rPr>
        <w:t xml:space="preserve">, certain types of </w:t>
      </w:r>
      <w:proofErr w:type="spellStart"/>
      <w:r w:rsidR="00F25ADC" w:rsidRPr="00BD75D6">
        <w:rPr>
          <w:rStyle w:val="FootnoteReference"/>
        </w:rPr>
        <w:t>Treuhand</w:t>
      </w:r>
      <w:proofErr w:type="spellEnd"/>
      <w:r w:rsidR="00F25ADC" w:rsidRPr="00BD75D6">
        <w:rPr>
          <w:rStyle w:val="FootnoteReference"/>
        </w:rPr>
        <w:t xml:space="preserve">, </w:t>
      </w:r>
      <w:proofErr w:type="spellStart"/>
      <w:r w:rsidR="00F25ADC" w:rsidRPr="00BD75D6">
        <w:rPr>
          <w:rStyle w:val="FootnoteReference"/>
        </w:rPr>
        <w:t>fideicomiso</w:t>
      </w:r>
      <w:proofErr w:type="spellEnd"/>
      <w:r w:rsidR="00F25ADC" w:rsidRPr="00BD75D6">
        <w:rPr>
          <w:rStyle w:val="FootnoteReference"/>
        </w:rPr>
        <w:t xml:space="preserve"> and Waqf.”</w:t>
      </w:r>
    </w:p>
  </w:footnote>
  <w:footnote w:id="4">
    <w:p w14:paraId="3C5F9FAE" w14:textId="77777777" w:rsidR="00766758" w:rsidRPr="00BD75D6" w:rsidRDefault="00766758" w:rsidP="004C110E">
      <w:pPr>
        <w:pStyle w:val="FootnoteText"/>
        <w:spacing w:after="0"/>
        <w:rPr>
          <w:rStyle w:val="FootnoteReference"/>
        </w:rPr>
      </w:pPr>
      <w:r w:rsidRPr="00BD75D6">
        <w:rPr>
          <w:rStyle w:val="FootnoteReference"/>
        </w:rPr>
        <w:footnoteRef/>
      </w:r>
      <w:r w:rsidRPr="00BD75D6">
        <w:rPr>
          <w:rStyle w:val="FootnoteReference"/>
        </w:rPr>
        <w:t xml:space="preserve"> In the context of this Guidance, “the purposes of trusts” are understood as the “objectives” of trusts and not to be confused with what is traditionally known as a “purpose trust” in English Law, </w:t>
      </w:r>
      <w:r w:rsidR="00E61720" w:rsidRPr="00BD75D6">
        <w:rPr>
          <w:rStyle w:val="FootnoteReference"/>
        </w:rPr>
        <w:t>i.e.,</w:t>
      </w:r>
      <w:r w:rsidRPr="00BD75D6">
        <w:rPr>
          <w:rStyle w:val="FootnoteReference"/>
        </w:rPr>
        <w:t xml:space="preserve"> created for the benefit of a purpose rather the benefit of a person.</w:t>
      </w:r>
      <w:r w:rsidR="00032F10" w:rsidRPr="00BD75D6">
        <w:rPr>
          <w:rStyle w:val="FootnoteReference"/>
        </w:rPr>
        <w:t xml:space="preserve"> See Annex A.</w:t>
      </w:r>
    </w:p>
  </w:footnote>
  <w:footnote w:id="5">
    <w:p w14:paraId="3B7DAABB" w14:textId="77777777" w:rsidR="00D87E0B" w:rsidRPr="00BD75D6" w:rsidRDefault="00D87E0B" w:rsidP="00D87E0B">
      <w:pPr>
        <w:pStyle w:val="FootnoteText"/>
        <w:spacing w:after="0"/>
        <w:rPr>
          <w:rStyle w:val="FootnoteReference"/>
        </w:rPr>
      </w:pPr>
      <w:r w:rsidRPr="00BD75D6">
        <w:rPr>
          <w:rStyle w:val="FootnoteReference"/>
        </w:rPr>
        <w:footnoteRef/>
      </w:r>
      <w:r w:rsidRPr="00BD75D6">
        <w:rPr>
          <w:rStyle w:val="FootnoteReference"/>
        </w:rPr>
        <w:t xml:space="preserve"> The case considered an old English statute, the Statute of Elizabeth, and provides for charitable trusts – (</w:t>
      </w:r>
      <w:proofErr w:type="spellStart"/>
      <w:r w:rsidRPr="00BD75D6">
        <w:rPr>
          <w:rStyle w:val="FootnoteReference"/>
        </w:rPr>
        <w:t>i</w:t>
      </w:r>
      <w:proofErr w:type="spellEnd"/>
      <w:r w:rsidRPr="00BD75D6">
        <w:rPr>
          <w:rStyle w:val="FootnoteReference"/>
        </w:rPr>
        <w:t>) for the relief of poverty; (ii) for the advancement of education; (iii) for the advancement of religion; and (iv) for other purposes beneficial to the community, not falling under any of (</w:t>
      </w:r>
      <w:proofErr w:type="spellStart"/>
      <w:r w:rsidRPr="00BD75D6">
        <w:rPr>
          <w:rStyle w:val="FootnoteReference"/>
        </w:rPr>
        <w:t>i</w:t>
      </w:r>
      <w:proofErr w:type="spellEnd"/>
      <w:r w:rsidRPr="00BD75D6">
        <w:rPr>
          <w:rStyle w:val="FootnoteReference"/>
        </w:rPr>
        <w:t>)-(iii).</w:t>
      </w:r>
    </w:p>
  </w:footnote>
  <w:footnote w:id="6">
    <w:p w14:paraId="5F0B9D93" w14:textId="77777777" w:rsidR="00981543" w:rsidRPr="00BD75D6" w:rsidRDefault="00981543" w:rsidP="00981543">
      <w:pPr>
        <w:pStyle w:val="FootnoteText"/>
        <w:spacing w:after="0"/>
        <w:rPr>
          <w:rStyle w:val="FootnoteReference"/>
        </w:rPr>
      </w:pPr>
      <w:r w:rsidRPr="00BD75D6">
        <w:rPr>
          <w:rStyle w:val="FootnoteReference"/>
        </w:rPr>
        <w:footnoteRef/>
      </w:r>
      <w:r w:rsidRPr="00BD75D6">
        <w:rPr>
          <w:rStyle w:val="FootnoteReference"/>
        </w:rPr>
        <w:t xml:space="preserve">  Fiduciary obligation is to be understood as a duty of care, loyalty, good faith, prudence, and disclosure. </w:t>
      </w:r>
    </w:p>
  </w:footnote>
  <w:footnote w:id="7">
    <w:p w14:paraId="5BA901D8" w14:textId="77777777" w:rsidR="00CE7470" w:rsidRPr="00BD75D6" w:rsidRDefault="00CE7470" w:rsidP="000C4676">
      <w:pPr>
        <w:pStyle w:val="FootnoteText"/>
        <w:spacing w:after="0"/>
        <w:rPr>
          <w:rStyle w:val="FootnoteReference"/>
        </w:rPr>
      </w:pPr>
      <w:r w:rsidRPr="00BD75D6">
        <w:rPr>
          <w:rStyle w:val="FootnoteReference"/>
        </w:rPr>
        <w:footnoteRef/>
      </w:r>
      <w:r w:rsidRPr="00BD75D6">
        <w:rPr>
          <w:rStyle w:val="FootnoteReference"/>
        </w:rPr>
        <w:t xml:space="preserve"> See OECD/IDB Global Forum BO Toolkit from 2022, p. 14: “In distinguishing between legal persons and legal arrangements, in practice it can sometimes be difficult to determine the proper classification as depending on a jurisdiction’s unique laws, some legal persons might have very similar structures to legal arrangements (e.g., a trust). For example, some private foundations look a lot like a trust: the settlor/founder is the person who transfers assets to the trust/foundation; the trustee/foundation council manages the assets of the trust/ foundation on behalf of the beneficiaries.”</w:t>
      </w:r>
      <w:hyperlink r:id="rId1" w:history="1">
        <w:r w:rsidR="00E76A87">
          <w:rPr>
            <w:rStyle w:val="FootnoteReference"/>
          </w:rPr>
          <w:t>https://www.oecd.org/tax/transparency/documents/effective-beneficial-ownership-frameworks-toolkit_en.pdf</w:t>
        </w:r>
      </w:hyperlink>
      <w:r w:rsidRPr="00BD75D6">
        <w:rPr>
          <w:rStyle w:val="FootnoteReference"/>
        </w:rPr>
        <w:t xml:space="preserve"> </w:t>
      </w:r>
    </w:p>
  </w:footnote>
  <w:footnote w:id="8">
    <w:p w14:paraId="7DB89574" w14:textId="77777777" w:rsidR="00945A96" w:rsidRPr="00BD75D6" w:rsidRDefault="00945A96" w:rsidP="000C4676">
      <w:pPr>
        <w:pStyle w:val="FootnoteText"/>
        <w:spacing w:after="0"/>
        <w:rPr>
          <w:rStyle w:val="FootnoteReference"/>
        </w:rPr>
      </w:pPr>
      <w:r w:rsidRPr="00BD75D6">
        <w:rPr>
          <w:rStyle w:val="FootnoteReference"/>
        </w:rPr>
        <w:footnoteRef/>
      </w:r>
      <w:r w:rsidRPr="00BD75D6">
        <w:rPr>
          <w:rStyle w:val="FootnoteReference"/>
        </w:rPr>
        <w:t xml:space="preserve"> Reference to “ultimate effective control” over trusts or similar legal arrangements includes situations in which ownership/control is exercised through a chain of ownership/control.</w:t>
      </w:r>
    </w:p>
  </w:footnote>
  <w:footnote w:id="9">
    <w:p w14:paraId="2D4A891D" w14:textId="77777777" w:rsidR="00C62697" w:rsidRPr="00BD75D6" w:rsidRDefault="00C62697" w:rsidP="00222A48">
      <w:pPr>
        <w:pStyle w:val="FootnoteText"/>
        <w:spacing w:after="0"/>
        <w:rPr>
          <w:rStyle w:val="FootnoteReference"/>
        </w:rPr>
      </w:pPr>
      <w:r w:rsidRPr="00BD75D6">
        <w:rPr>
          <w:rStyle w:val="FootnoteReference"/>
        </w:rPr>
        <w:footnoteRef/>
      </w:r>
      <w:r w:rsidRPr="00BD75D6">
        <w:rPr>
          <w:rStyle w:val="FootnoteReference"/>
        </w:rPr>
        <w:t xml:space="preserve"> The following – non-exhaustive – examples describe situations in which a person must be identified as the actual settlor, irrespective of the time at which the assets are transferred to the trust: </w:t>
      </w:r>
    </w:p>
    <w:p w14:paraId="1F7AEEAF" w14:textId="77777777" w:rsidR="00C62697" w:rsidRPr="00BD75D6" w:rsidRDefault="00C62697" w:rsidP="00222A48">
      <w:pPr>
        <w:pStyle w:val="FootnoteText"/>
        <w:spacing w:after="0"/>
        <w:rPr>
          <w:rStyle w:val="FootnoteReference"/>
        </w:rPr>
      </w:pPr>
      <w:r w:rsidRPr="00BD75D6">
        <w:rPr>
          <w:rStyle w:val="FootnoteReference"/>
        </w:rPr>
        <w:t xml:space="preserve">• A person </w:t>
      </w:r>
      <w:r w:rsidR="005D357B" w:rsidRPr="00BD75D6">
        <w:rPr>
          <w:rStyle w:val="FootnoteReference"/>
        </w:rPr>
        <w:t xml:space="preserve">who </w:t>
      </w:r>
      <w:r w:rsidRPr="00BD75D6">
        <w:rPr>
          <w:rStyle w:val="FootnoteReference"/>
        </w:rPr>
        <w:t xml:space="preserve">contributes assets to a trust is to be identified as the </w:t>
      </w:r>
      <w:r w:rsidR="00EA45CC" w:rsidRPr="00BD75D6">
        <w:rPr>
          <w:rStyle w:val="FootnoteReference"/>
        </w:rPr>
        <w:t>Settlor</w:t>
      </w:r>
      <w:r w:rsidRPr="00BD75D6">
        <w:rPr>
          <w:rStyle w:val="FootnoteReference"/>
        </w:rPr>
        <w:t>.</w:t>
      </w:r>
    </w:p>
    <w:p w14:paraId="4A237E8C" w14:textId="77777777" w:rsidR="00C62697" w:rsidRDefault="00C62697" w:rsidP="00222A48">
      <w:pPr>
        <w:pStyle w:val="FootnoteText"/>
        <w:spacing w:after="0"/>
      </w:pPr>
      <w:r w:rsidRPr="00BD75D6">
        <w:rPr>
          <w:rStyle w:val="FootnoteReference"/>
        </w:rPr>
        <w:t xml:space="preserve">• </w:t>
      </w:r>
      <w:r w:rsidR="005D357B" w:rsidRPr="00BD75D6">
        <w:rPr>
          <w:rStyle w:val="FootnoteReference"/>
        </w:rPr>
        <w:t>P</w:t>
      </w:r>
      <w:r w:rsidRPr="00BD75D6">
        <w:rPr>
          <w:rStyle w:val="FootnoteReference"/>
        </w:rPr>
        <w:t>erson A transfers certain assets to Person B with the intention that Person B should subsequently endow a trust with those assets. Person A should be identified as settlor.</w:t>
      </w:r>
    </w:p>
  </w:footnote>
  <w:footnote w:id="10">
    <w:p w14:paraId="4EBAABEE" w14:textId="77777777" w:rsidR="007D1E6D" w:rsidRPr="001B7C71" w:rsidRDefault="007D1E6D" w:rsidP="007D1E6D">
      <w:pPr>
        <w:pStyle w:val="FootnoteText"/>
        <w:ind w:left="568"/>
        <w:rPr>
          <w:rStyle w:val="FootnoteReference"/>
        </w:rPr>
      </w:pPr>
      <w:r w:rsidRPr="001B7C71">
        <w:rPr>
          <w:rStyle w:val="FootnoteReference"/>
        </w:rPr>
        <w:footnoteRef/>
      </w:r>
      <w:r w:rsidRPr="001B7C71">
        <w:rPr>
          <w:rStyle w:val="FootnoteReference"/>
        </w:rPr>
        <w:t xml:space="preserve"> Broadly</w:t>
      </w:r>
      <w:r w:rsidR="001C62F4" w:rsidRPr="001B7C71">
        <w:rPr>
          <w:rStyle w:val="FootnoteReference"/>
        </w:rPr>
        <w:t>,</w:t>
      </w:r>
      <w:r w:rsidRPr="001B7C71">
        <w:rPr>
          <w:rStyle w:val="FootnoteReference"/>
        </w:rPr>
        <w:t xml:space="preserve"> this </w:t>
      </w:r>
      <w:r w:rsidR="001C62F4" w:rsidRPr="001B7C71">
        <w:rPr>
          <w:rStyle w:val="FootnoteReference"/>
        </w:rPr>
        <w:t>aligns</w:t>
      </w:r>
      <w:r w:rsidRPr="001B7C71">
        <w:rPr>
          <w:rStyle w:val="FootnoteReference"/>
        </w:rPr>
        <w:t xml:space="preserve"> with the approach followed in the International Standards for Automatic Exchange of Information in Tax Matters, Crypto-Asset Reporting Framework</w:t>
      </w:r>
      <w:r w:rsidR="001C62F4" w:rsidRPr="001B7C71">
        <w:rPr>
          <w:rStyle w:val="FootnoteReference"/>
        </w:rPr>
        <w:t>,</w:t>
      </w:r>
      <w:r w:rsidRPr="001B7C71">
        <w:rPr>
          <w:rStyle w:val="FootnoteReference"/>
        </w:rPr>
        <w:t xml:space="preserve"> and </w:t>
      </w:r>
      <w:r w:rsidR="001C62F4" w:rsidRPr="001B7C71">
        <w:rPr>
          <w:rStyle w:val="FootnoteReference"/>
        </w:rPr>
        <w:t xml:space="preserve">the </w:t>
      </w:r>
      <w:r w:rsidRPr="001B7C71">
        <w:rPr>
          <w:rStyle w:val="FootnoteReference"/>
        </w:rPr>
        <w:t>2023 update to the Common Reporting Standard, for example para. 52 at p. 54: “For beneficiary(</w:t>
      </w:r>
      <w:proofErr w:type="spellStart"/>
      <w:r w:rsidRPr="001B7C71">
        <w:rPr>
          <w:rStyle w:val="FootnoteReference"/>
        </w:rPr>
        <w:t>ies</w:t>
      </w:r>
      <w:proofErr w:type="spellEnd"/>
      <w:r w:rsidRPr="001B7C71">
        <w:rPr>
          <w:rStyle w:val="FootnoteReference"/>
        </w:rPr>
        <w:t>) of trusts that are designated by characteristics or by class, Reporting Crypto-Asset Service Providers should obtain sufficient information concerning the beneficiary(</w:t>
      </w:r>
      <w:proofErr w:type="spellStart"/>
      <w:r w:rsidRPr="001B7C71">
        <w:rPr>
          <w:rStyle w:val="FootnoteReference"/>
        </w:rPr>
        <w:t>ies</w:t>
      </w:r>
      <w:proofErr w:type="spellEnd"/>
      <w:r w:rsidRPr="001B7C71">
        <w:rPr>
          <w:rStyle w:val="FootnoteReference"/>
        </w:rPr>
        <w:t>) to satisfy the Reporting Crypto-Asset Service Provider that it will be able to establish the identity of the beneficiary(</w:t>
      </w:r>
      <w:proofErr w:type="spellStart"/>
      <w:r w:rsidRPr="001B7C71">
        <w:rPr>
          <w:rStyle w:val="FootnoteReference"/>
        </w:rPr>
        <w:t>ies</w:t>
      </w:r>
      <w:proofErr w:type="spellEnd"/>
      <w:r w:rsidRPr="001B7C71">
        <w:rPr>
          <w:rStyle w:val="FootnoteReference"/>
        </w:rPr>
        <w:t>) at the time of the pay-out or when the beneficiary(</w:t>
      </w:r>
      <w:proofErr w:type="spellStart"/>
      <w:r w:rsidRPr="001B7C71">
        <w:rPr>
          <w:rStyle w:val="FootnoteReference"/>
        </w:rPr>
        <w:t>ies</w:t>
      </w:r>
      <w:proofErr w:type="spellEnd"/>
      <w:r w:rsidRPr="001B7C71">
        <w:rPr>
          <w:rStyle w:val="FootnoteReference"/>
        </w:rPr>
        <w:t xml:space="preserve">) intends to exercise vested rights.” Available at: </w:t>
      </w:r>
      <w:hyperlink r:id="rId2" w:history="1">
        <w:r w:rsidR="00E76A87">
          <w:rPr>
            <w:rStyle w:val="FootnoteReference"/>
          </w:rPr>
          <w:t>https://www.oecd-ilibrary.org/docserver/896d79d1-en.pdf?expires=1686767048&amp;id=id&amp;accname=guest&amp;checksum=2ABD1727770293C2E919125EDB346F44</w:t>
        </w:r>
      </w:hyperlink>
    </w:p>
  </w:footnote>
  <w:footnote w:id="11">
    <w:p w14:paraId="6A62B8F4" w14:textId="77777777" w:rsidR="00A32829" w:rsidRPr="001B7C71" w:rsidRDefault="00A32829" w:rsidP="00A32829">
      <w:pPr>
        <w:pStyle w:val="FootnoteText"/>
        <w:ind w:left="568"/>
        <w:rPr>
          <w:rStyle w:val="FootnoteReference"/>
        </w:rPr>
      </w:pPr>
      <w:r w:rsidRPr="001B7C71">
        <w:rPr>
          <w:rStyle w:val="FootnoteReference"/>
        </w:rPr>
        <w:footnoteRef/>
      </w:r>
      <w:r w:rsidRPr="001B7C71">
        <w:rPr>
          <w:rStyle w:val="FootnoteReference"/>
        </w:rPr>
        <w:t xml:space="preserve"> FN73 of the INR.25: For beneficiary(</w:t>
      </w:r>
      <w:proofErr w:type="spellStart"/>
      <w:r w:rsidRPr="001B7C71">
        <w:rPr>
          <w:rStyle w:val="FootnoteReference"/>
        </w:rPr>
        <w:t>ies</w:t>
      </w:r>
      <w:proofErr w:type="spellEnd"/>
      <w:r w:rsidRPr="001B7C71">
        <w:rPr>
          <w:rStyle w:val="FootnoteReference"/>
        </w:rPr>
        <w:t xml:space="preserve">) of trusts/similar legal arrangement that are designated by characteristics or by class, trustees/equivalent are not expected to obtain fully adequate and accurate information until the person becomes entitled as beneficiary at the time of the </w:t>
      </w:r>
      <w:proofErr w:type="spellStart"/>
      <w:r w:rsidRPr="001B7C71">
        <w:rPr>
          <w:rStyle w:val="FootnoteReference"/>
        </w:rPr>
        <w:t>payout</w:t>
      </w:r>
      <w:proofErr w:type="spellEnd"/>
      <w:r w:rsidRPr="001B7C71">
        <w:rPr>
          <w:rStyle w:val="FootnoteReference"/>
        </w:rPr>
        <w:t xml:space="preserve"> or when the beneficiary intends to exercise vested rights, as per the risk-based approach.</w:t>
      </w:r>
    </w:p>
  </w:footnote>
  <w:footnote w:id="12">
    <w:p w14:paraId="685E4D44" w14:textId="77777777" w:rsidR="00C74D28" w:rsidRPr="001B7C71" w:rsidRDefault="00C74D28">
      <w:pPr>
        <w:pStyle w:val="FootnoteText"/>
        <w:rPr>
          <w:rStyle w:val="FootnoteReference"/>
        </w:rPr>
      </w:pPr>
      <w:r w:rsidRPr="001B7C71">
        <w:rPr>
          <w:rStyle w:val="FootnoteReference"/>
        </w:rPr>
        <w:footnoteRef/>
      </w:r>
      <w:r w:rsidRPr="001B7C71">
        <w:rPr>
          <w:rStyle w:val="FootnoteReference"/>
        </w:rPr>
        <w:t xml:space="preserve"> </w:t>
      </w:r>
      <w:r w:rsidR="00030B2F" w:rsidRPr="001B7C71">
        <w:rPr>
          <w:rStyle w:val="FootnoteReference"/>
        </w:rPr>
        <w:t>In the context of this Guidance</w:t>
      </w:r>
      <w:r w:rsidR="004A1316" w:rsidRPr="001B7C71">
        <w:rPr>
          <w:rStyle w:val="FootnoteReference"/>
        </w:rPr>
        <w:t>,</w:t>
      </w:r>
      <w:r w:rsidR="00030B2F" w:rsidRPr="001B7C71">
        <w:rPr>
          <w:rStyle w:val="FootnoteReference"/>
        </w:rPr>
        <w:t xml:space="preserve"> “residence” </w:t>
      </w:r>
      <w:r w:rsidR="002502B7" w:rsidRPr="001B7C71">
        <w:rPr>
          <w:rStyle w:val="FootnoteReference"/>
        </w:rPr>
        <w:t xml:space="preserve">in the case </w:t>
      </w:r>
      <w:r w:rsidR="00030B2F" w:rsidRPr="001B7C71">
        <w:rPr>
          <w:rStyle w:val="FootnoteReference"/>
        </w:rPr>
        <w:t xml:space="preserve">of natural persons </w:t>
      </w:r>
      <w:r w:rsidR="002502B7" w:rsidRPr="001B7C71">
        <w:rPr>
          <w:rStyle w:val="FootnoteReference"/>
        </w:rPr>
        <w:t>shall be taken to refer to</w:t>
      </w:r>
      <w:r w:rsidR="00030B2F" w:rsidRPr="001B7C71">
        <w:rPr>
          <w:rStyle w:val="FootnoteReference"/>
        </w:rPr>
        <w:t xml:space="preserve"> “place of establishment”</w:t>
      </w:r>
      <w:r w:rsidR="004A1316" w:rsidRPr="001B7C71">
        <w:rPr>
          <w:rStyle w:val="FootnoteReference"/>
        </w:rPr>
        <w:t xml:space="preserve"> and</w:t>
      </w:r>
      <w:r w:rsidR="00030B2F" w:rsidRPr="001B7C71">
        <w:rPr>
          <w:rStyle w:val="FootnoteReference"/>
        </w:rPr>
        <w:t xml:space="preserve"> </w:t>
      </w:r>
      <w:r w:rsidR="002502B7" w:rsidRPr="001B7C71">
        <w:rPr>
          <w:rStyle w:val="FootnoteReference"/>
        </w:rPr>
        <w:t xml:space="preserve">in the case of </w:t>
      </w:r>
      <w:r w:rsidR="00030B2F" w:rsidRPr="001B7C71">
        <w:rPr>
          <w:rStyle w:val="FootnoteReference"/>
        </w:rPr>
        <w:t>legal persons is understood as one of the elements of basic information of relevance to the identification of the beneficial owners of trusts and similar legal arrangements. The determination of residency and/or establishment is made by each country in line with the applicable legal frameworks.</w:t>
      </w:r>
    </w:p>
  </w:footnote>
  <w:footnote w:id="13">
    <w:p w14:paraId="04C727BD" w14:textId="77777777" w:rsidR="00C171C0" w:rsidRPr="001B7C71" w:rsidRDefault="00C171C0" w:rsidP="001B7C71">
      <w:pPr>
        <w:pStyle w:val="FootnoteText"/>
        <w:rPr>
          <w:rStyle w:val="FootnoteReference"/>
        </w:rPr>
      </w:pPr>
      <w:r w:rsidRPr="001B7C71">
        <w:rPr>
          <w:rStyle w:val="FootnoteReference"/>
        </w:rPr>
        <w:footnoteRef/>
      </w:r>
      <w:r w:rsidRPr="001B7C71">
        <w:rPr>
          <w:rStyle w:val="FootnoteReference"/>
        </w:rPr>
        <w:t xml:space="preserve"> See, the Statute of Elizabeth (or Fraudulent </w:t>
      </w:r>
      <w:r w:rsidR="004F0449" w:rsidRPr="001B7C71">
        <w:rPr>
          <w:rStyle w:val="FootnoteReference"/>
        </w:rPr>
        <w:t>C</w:t>
      </w:r>
      <w:r w:rsidRPr="001B7C71">
        <w:rPr>
          <w:rStyle w:val="FootnoteReference"/>
        </w:rPr>
        <w:t xml:space="preserve">onveyance </w:t>
      </w:r>
      <w:r w:rsidR="004F0449" w:rsidRPr="001B7C71">
        <w:rPr>
          <w:rStyle w:val="FootnoteReference"/>
        </w:rPr>
        <w:t>A</w:t>
      </w:r>
      <w:r w:rsidRPr="001B7C71">
        <w:rPr>
          <w:rStyle w:val="FootnoteReference"/>
        </w:rPr>
        <w:t xml:space="preserve">ct) declared the transfers of assets into trusts </w:t>
      </w:r>
      <w:r w:rsidR="004F0449" w:rsidRPr="001B7C71">
        <w:rPr>
          <w:rStyle w:val="FootnoteReference"/>
        </w:rPr>
        <w:t xml:space="preserve">void </w:t>
      </w:r>
      <w:r w:rsidRPr="001B7C71">
        <w:rPr>
          <w:rStyle w:val="FootnoteReference"/>
        </w:rPr>
        <w:t>when these were motivated by fraudulent objectives</w:t>
      </w:r>
      <w:r w:rsidR="004F0449" w:rsidRPr="001B7C71">
        <w:rPr>
          <w:rStyle w:val="FootnoteReference"/>
        </w:rPr>
        <w:t>.</w:t>
      </w:r>
      <w:r w:rsidRPr="001B7C71">
        <w:rPr>
          <w:rStyle w:val="FootnoteReference"/>
        </w:rPr>
        <w:t xml:space="preserve"> Notably, there are circumstances in which the court may order a trust to release assets to creditors etc. See Webb v Webb [2020] UKPC 22. In this case, the settlor’s claim failed because he was the settlor, trustee and beneficiary; as such the court ruled that “…the trust deed failed to record an effective alienation by Mr. Webb of any of the trust property. The bundle of right which he retained is indistinguishable from ownership.”</w:t>
      </w:r>
    </w:p>
  </w:footnote>
  <w:footnote w:id="14">
    <w:p w14:paraId="674C1EB4" w14:textId="77777777" w:rsidR="00C171C0" w:rsidRPr="001B7C71" w:rsidRDefault="00C171C0" w:rsidP="002E54C6">
      <w:pPr>
        <w:pStyle w:val="FootnoteText"/>
        <w:spacing w:after="0"/>
        <w:rPr>
          <w:rStyle w:val="FootnoteReference"/>
        </w:rPr>
      </w:pPr>
      <w:r w:rsidRPr="001B7C71">
        <w:rPr>
          <w:rStyle w:val="FootnoteReference"/>
        </w:rPr>
        <w:footnoteRef/>
      </w:r>
      <w:r w:rsidRPr="001B7C71">
        <w:rPr>
          <w:rStyle w:val="FootnoteReference"/>
        </w:rPr>
        <w:t xml:space="preserve"> This can extend to provisional measures such as freezing of the assets pending conviction (see e.g. </w:t>
      </w:r>
      <w:proofErr w:type="spellStart"/>
      <w:r w:rsidRPr="001B7C71">
        <w:rPr>
          <w:rStyle w:val="FootnoteReference"/>
        </w:rPr>
        <w:t>Cassazione</w:t>
      </w:r>
      <w:proofErr w:type="spellEnd"/>
      <w:r w:rsidRPr="001B7C71">
        <w:rPr>
          <w:rStyle w:val="FootnoteReference"/>
        </w:rPr>
        <w:t xml:space="preserve"> </w:t>
      </w:r>
      <w:proofErr w:type="spellStart"/>
      <w:r w:rsidRPr="001B7C71">
        <w:rPr>
          <w:rStyle w:val="FootnoteReference"/>
        </w:rPr>
        <w:t>penale</w:t>
      </w:r>
      <w:proofErr w:type="spellEnd"/>
      <w:r w:rsidRPr="001B7C71">
        <w:rPr>
          <w:rStyle w:val="FootnoteReference"/>
        </w:rPr>
        <w:t xml:space="preserve"> sez. II, 25/03/2015, n.15804). </w:t>
      </w:r>
    </w:p>
  </w:footnote>
  <w:footnote w:id="15">
    <w:p w14:paraId="6E42BD33" w14:textId="77777777" w:rsidR="00072ABB" w:rsidRDefault="00072ABB" w:rsidP="002E54C6">
      <w:pPr>
        <w:pStyle w:val="FootnoteText"/>
        <w:spacing w:after="0"/>
      </w:pPr>
      <w:r w:rsidRPr="001B7C71">
        <w:rPr>
          <w:rStyle w:val="FootnoteReference"/>
        </w:rPr>
        <w:footnoteRef/>
      </w:r>
      <w:r w:rsidRPr="001B7C71">
        <w:rPr>
          <w:rStyle w:val="FootnoteReference"/>
        </w:rPr>
        <w:t xml:space="preserve"> This assessment could, based on available information, include the identification of typologies on the extent to which </w:t>
      </w:r>
      <w:r w:rsidR="002E54C6" w:rsidRPr="001B7C71">
        <w:rPr>
          <w:rStyle w:val="FootnoteReference"/>
        </w:rPr>
        <w:t>trusts</w:t>
      </w:r>
      <w:r w:rsidRPr="001B7C71">
        <w:rPr>
          <w:rStyle w:val="FootnoteReference"/>
        </w:rPr>
        <w:t xml:space="preserve"> </w:t>
      </w:r>
      <w:r w:rsidR="00D22FC9" w:rsidRPr="001B7C71">
        <w:rPr>
          <w:rStyle w:val="FootnoteReference"/>
        </w:rPr>
        <w:t xml:space="preserve">and other similar legal arrangements </w:t>
      </w:r>
      <w:r w:rsidRPr="001B7C71">
        <w:rPr>
          <w:rStyle w:val="FootnoteReference"/>
        </w:rPr>
        <w:t>governed under its law are used within and outside of the country.</w:t>
      </w:r>
    </w:p>
  </w:footnote>
  <w:footnote w:id="16">
    <w:p w14:paraId="11613741" w14:textId="77777777" w:rsidR="003A6712" w:rsidRPr="001B7C71" w:rsidRDefault="003A6712" w:rsidP="0018040C">
      <w:pPr>
        <w:pStyle w:val="FootnoteText"/>
        <w:rPr>
          <w:rStyle w:val="FootnoteReference"/>
        </w:rPr>
      </w:pPr>
      <w:r w:rsidRPr="001B7C71">
        <w:rPr>
          <w:rStyle w:val="FootnoteReference"/>
        </w:rPr>
        <w:footnoteRef/>
      </w:r>
      <w:r w:rsidRPr="001B7C71">
        <w:rPr>
          <w:rStyle w:val="FootnoteReference"/>
        </w:rPr>
        <w:t xml:space="preserve"> See Footnote 69 to IN</w:t>
      </w:r>
      <w:r w:rsidR="00E945F4" w:rsidRPr="001B7C71">
        <w:rPr>
          <w:rStyle w:val="FootnoteReference"/>
        </w:rPr>
        <w:t>R.</w:t>
      </w:r>
      <w:r w:rsidRPr="001B7C71">
        <w:rPr>
          <w:rStyle w:val="FootnoteReference"/>
        </w:rPr>
        <w:t>25, “Countries may determine what is considered a sufficient link on the basis of risk. Examples of sufficiency tests may include, but are not limited to, when the trust/similar legal arrangement or a trustee or a person holding an equivalent position in a similar legal arrangement has significant and ongoing business relations with financial institutions or DNFBPs, has significant real estate/other local investment, or is a tax resident, in the country.”</w:t>
      </w:r>
    </w:p>
  </w:footnote>
  <w:footnote w:id="17">
    <w:p w14:paraId="5991777A" w14:textId="77777777" w:rsidR="00353935" w:rsidRPr="001B7C71" w:rsidRDefault="00353935" w:rsidP="00AB28E0">
      <w:pPr>
        <w:pStyle w:val="FootnoteText"/>
        <w:spacing w:after="0"/>
        <w:rPr>
          <w:rStyle w:val="FootnoteReference"/>
        </w:rPr>
      </w:pPr>
      <w:r w:rsidRPr="001B7C71">
        <w:rPr>
          <w:rStyle w:val="FootnoteReference"/>
        </w:rPr>
        <w:footnoteRef/>
      </w:r>
      <w:r w:rsidRPr="001B7C71">
        <w:rPr>
          <w:rStyle w:val="FootnoteReference"/>
        </w:rPr>
        <w:t xml:space="preserve"> INR 25.5</w:t>
      </w:r>
      <w:r w:rsidR="00557DE7" w:rsidRPr="001B7C71">
        <w:rPr>
          <w:rStyle w:val="FootnoteReference"/>
        </w:rPr>
        <w:t>.</w:t>
      </w:r>
    </w:p>
  </w:footnote>
  <w:footnote w:id="18">
    <w:p w14:paraId="3CA16C5F" w14:textId="77777777" w:rsidR="00353935" w:rsidRPr="001B7C71" w:rsidRDefault="00353935" w:rsidP="00AB28E0">
      <w:pPr>
        <w:pStyle w:val="FootnoteText"/>
        <w:spacing w:after="0"/>
        <w:rPr>
          <w:rStyle w:val="FootnoteReference"/>
        </w:rPr>
      </w:pPr>
      <w:r w:rsidRPr="001B7C71">
        <w:rPr>
          <w:rStyle w:val="FootnoteReference"/>
        </w:rPr>
        <w:footnoteRef/>
      </w:r>
      <w:r w:rsidRPr="001B7C71">
        <w:rPr>
          <w:rStyle w:val="FootnoteReference"/>
        </w:rPr>
        <w:t xml:space="preserve"> The trust deed should be available as a source of verification of basic information provided about the instruments.</w:t>
      </w:r>
    </w:p>
  </w:footnote>
  <w:footnote w:id="19">
    <w:p w14:paraId="17C74551" w14:textId="77777777" w:rsidR="00353935" w:rsidRDefault="00353935" w:rsidP="00AB28E0">
      <w:pPr>
        <w:pStyle w:val="FootnoteText"/>
        <w:spacing w:after="0"/>
      </w:pPr>
      <w:r w:rsidRPr="001B7C71">
        <w:rPr>
          <w:rStyle w:val="FootnoteReference"/>
        </w:rPr>
        <w:footnoteRef/>
      </w:r>
      <w:r w:rsidRPr="001B7C71">
        <w:rPr>
          <w:rStyle w:val="FootnoteReference"/>
        </w:rPr>
        <w:t xml:space="preserve"> The purpose of trusts and other similar legal arrangements is generally defined by the trust’s written instrument and other accompanying documents.</w:t>
      </w:r>
      <w:r w:rsidRPr="00353935">
        <w:t xml:space="preserve"> </w:t>
      </w:r>
    </w:p>
  </w:footnote>
  <w:footnote w:id="20">
    <w:p w14:paraId="52BAEEDE" w14:textId="77777777" w:rsidR="00353935" w:rsidRPr="001B7C71" w:rsidRDefault="00353935" w:rsidP="00AB28E0">
      <w:pPr>
        <w:pStyle w:val="FootnoteText"/>
        <w:spacing w:after="0"/>
        <w:rPr>
          <w:rStyle w:val="FootnoteReference"/>
        </w:rPr>
      </w:pPr>
      <w:r w:rsidRPr="001B7C71">
        <w:rPr>
          <w:rStyle w:val="FootnoteReference"/>
        </w:rPr>
        <w:footnoteRef/>
      </w:r>
      <w:r w:rsidRPr="001B7C71">
        <w:rPr>
          <w:rStyle w:val="FootnoteReference"/>
        </w:rPr>
        <w:t xml:space="preserve"> The definition of residency</w:t>
      </w:r>
      <w:r w:rsidR="0034492A" w:rsidRPr="001B7C71">
        <w:rPr>
          <w:rStyle w:val="FootnoteReference"/>
        </w:rPr>
        <w:t xml:space="preserve"> and/or establishment</w:t>
      </w:r>
      <w:r w:rsidRPr="001B7C71">
        <w:rPr>
          <w:rStyle w:val="FootnoteReference"/>
        </w:rPr>
        <w:t xml:space="preserve"> for natural and legal persons will </w:t>
      </w:r>
      <w:r w:rsidR="00C74D28" w:rsidRPr="001B7C71">
        <w:rPr>
          <w:rStyle w:val="FootnoteReference"/>
        </w:rPr>
        <w:t>typically be</w:t>
      </w:r>
      <w:r w:rsidRPr="001B7C71">
        <w:rPr>
          <w:rStyle w:val="FootnoteReference"/>
        </w:rPr>
        <w:t xml:space="preserve"> </w:t>
      </w:r>
      <w:r w:rsidR="0034492A" w:rsidRPr="001B7C71">
        <w:rPr>
          <w:rStyle w:val="FootnoteReference"/>
        </w:rPr>
        <w:t>defined by the country’s</w:t>
      </w:r>
      <w:r w:rsidRPr="001B7C71">
        <w:rPr>
          <w:rStyle w:val="FootnoteReference"/>
        </w:rPr>
        <w:t xml:space="preserve"> </w:t>
      </w:r>
      <w:r w:rsidR="0034492A" w:rsidRPr="001B7C71">
        <w:rPr>
          <w:rStyle w:val="FootnoteReference"/>
        </w:rPr>
        <w:t>legal framework.</w:t>
      </w:r>
      <w:r w:rsidRPr="001B7C71">
        <w:rPr>
          <w:rStyle w:val="FootnoteReference"/>
        </w:rPr>
        <w:t xml:space="preserve"> </w:t>
      </w:r>
    </w:p>
  </w:footnote>
  <w:footnote w:id="21">
    <w:p w14:paraId="686AAE8F" w14:textId="77777777" w:rsidR="003A6712" w:rsidRPr="005551D9" w:rsidRDefault="003A6712" w:rsidP="003A6712">
      <w:pPr>
        <w:pStyle w:val="footnotedescription"/>
        <w:spacing w:line="240" w:lineRule="auto"/>
        <w:ind w:left="286" w:hanging="286"/>
        <w:jc w:val="both"/>
        <w:rPr>
          <w:rStyle w:val="FootnoteReference"/>
        </w:rPr>
      </w:pPr>
      <w:r w:rsidRPr="005551D9">
        <w:rPr>
          <w:rStyle w:val="FootnoteReference"/>
        </w:rPr>
        <w:footnoteRef/>
      </w:r>
      <w:r w:rsidRPr="005551D9">
        <w:rPr>
          <w:rStyle w:val="FootnoteReference"/>
        </w:rPr>
        <w:t xml:space="preserve"> From the party submitting the information, which could include legal persons, their representatives, TCSPs or other service providers.  </w:t>
      </w:r>
    </w:p>
  </w:footnote>
  <w:footnote w:id="22">
    <w:p w14:paraId="5FB7A413" w14:textId="77777777" w:rsidR="003A6712" w:rsidRPr="005551D9" w:rsidRDefault="003A6712" w:rsidP="003A6712">
      <w:pPr>
        <w:pStyle w:val="FootnoteText"/>
        <w:spacing w:after="0"/>
        <w:ind w:left="0"/>
        <w:jc w:val="left"/>
        <w:rPr>
          <w:rStyle w:val="FootnoteReference"/>
        </w:rPr>
      </w:pPr>
      <w:r w:rsidRPr="005551D9">
        <w:rPr>
          <w:rStyle w:val="FootnoteReference"/>
        </w:rPr>
        <w:footnoteRef/>
      </w:r>
      <w:r w:rsidRPr="005551D9">
        <w:rPr>
          <w:rStyle w:val="FootnoteReference"/>
        </w:rPr>
        <w:t xml:space="preserve"> Refer to Guidance on R.24 as requirements are equally applicable.</w:t>
      </w:r>
    </w:p>
  </w:footnote>
  <w:footnote w:id="23">
    <w:p w14:paraId="231E5DF9" w14:textId="77777777" w:rsidR="003A6712" w:rsidRPr="005551D9" w:rsidRDefault="003A6712" w:rsidP="003A6712">
      <w:pPr>
        <w:pStyle w:val="FootnoteText"/>
        <w:spacing w:after="0"/>
        <w:ind w:left="0"/>
        <w:rPr>
          <w:rStyle w:val="FootnoteReference"/>
        </w:rPr>
      </w:pPr>
      <w:r w:rsidRPr="005551D9">
        <w:rPr>
          <w:rStyle w:val="FootnoteReference"/>
        </w:rPr>
        <w:footnoteRef/>
      </w:r>
      <w:r w:rsidRPr="005551D9">
        <w:rPr>
          <w:rStyle w:val="FootnoteReference"/>
        </w:rPr>
        <w:t xml:space="preserve"> See paragraph 5 of IN</w:t>
      </w:r>
      <w:r w:rsidR="00E945F4">
        <w:rPr>
          <w:rStyle w:val="FootnoteReference"/>
        </w:rPr>
        <w:t>R.</w:t>
      </w:r>
      <w:r w:rsidRPr="005551D9">
        <w:rPr>
          <w:rStyle w:val="FootnoteReference"/>
        </w:rPr>
        <w:t>25</w:t>
      </w:r>
    </w:p>
  </w:footnote>
  <w:footnote w:id="24">
    <w:p w14:paraId="5F07D09A" w14:textId="77777777" w:rsidR="003A6712" w:rsidRPr="001B7C71" w:rsidRDefault="003A6712" w:rsidP="002B657E">
      <w:pPr>
        <w:pStyle w:val="FootnoteText"/>
        <w:spacing w:after="0"/>
        <w:ind w:left="0"/>
        <w:rPr>
          <w:rStyle w:val="FootnoteReference"/>
        </w:rPr>
      </w:pPr>
      <w:r w:rsidRPr="001B7C71">
        <w:rPr>
          <w:rStyle w:val="FootnoteReference"/>
        </w:rPr>
        <w:footnoteRef/>
      </w:r>
      <w:r w:rsidRPr="001B7C71">
        <w:rPr>
          <w:rStyle w:val="FootnoteReference"/>
        </w:rPr>
        <w:t xml:space="preserve"> See paragraph 5 of INR.25</w:t>
      </w:r>
      <w:r w:rsidR="00557DE7" w:rsidRPr="001B7C71">
        <w:rPr>
          <w:rStyle w:val="FootnoteReference"/>
        </w:rPr>
        <w:t>.</w:t>
      </w:r>
    </w:p>
  </w:footnote>
  <w:footnote w:id="25">
    <w:p w14:paraId="49DA9829" w14:textId="77777777" w:rsidR="00F16E5B" w:rsidRPr="001B7C71" w:rsidRDefault="00F16E5B" w:rsidP="003F3747">
      <w:pPr>
        <w:pStyle w:val="FootnoteText"/>
        <w:spacing w:after="0"/>
        <w:rPr>
          <w:rStyle w:val="FootnoteReference"/>
        </w:rPr>
      </w:pPr>
      <w:r w:rsidRPr="001B7C71">
        <w:rPr>
          <w:rStyle w:val="FootnoteReference"/>
        </w:rPr>
        <w:footnoteRef/>
      </w:r>
      <w:r w:rsidRPr="001B7C71">
        <w:rPr>
          <w:rStyle w:val="FootnoteReference"/>
        </w:rPr>
        <w:t xml:space="preserve"> See FATF </w:t>
      </w:r>
      <w:hyperlink r:id="rId3" w:history="1">
        <w:r w:rsidR="00E76A87">
          <w:rPr>
            <w:rStyle w:val="FootnoteReference"/>
          </w:rPr>
          <w:t>Guidance on Risk-Based Approach for Trust &amp; Company Service Providers</w:t>
        </w:r>
      </w:hyperlink>
      <w:r w:rsidRPr="001B7C71">
        <w:rPr>
          <w:rStyle w:val="FootnoteReference"/>
        </w:rPr>
        <w:t xml:space="preserve"> (2019)</w:t>
      </w:r>
      <w:r w:rsidR="00557DE7" w:rsidRPr="001B7C71">
        <w:rPr>
          <w:rStyle w:val="FootnoteReference"/>
        </w:rPr>
        <w:t>.</w:t>
      </w:r>
    </w:p>
  </w:footnote>
  <w:footnote w:id="26">
    <w:p w14:paraId="620C2C2B" w14:textId="77777777" w:rsidR="00F16E5B" w:rsidRPr="001B7C71" w:rsidRDefault="00F16E5B" w:rsidP="002B657E">
      <w:pPr>
        <w:pStyle w:val="FootnoteText"/>
        <w:spacing w:after="0"/>
        <w:rPr>
          <w:rStyle w:val="FootnoteReference"/>
        </w:rPr>
      </w:pPr>
      <w:r w:rsidRPr="001B7C71">
        <w:rPr>
          <w:rStyle w:val="FootnoteReference"/>
        </w:rPr>
        <w:footnoteRef/>
      </w:r>
      <w:r w:rsidRPr="001B7C71">
        <w:rPr>
          <w:rStyle w:val="FootnoteReference"/>
        </w:rPr>
        <w:t xml:space="preserve"> FATF </w:t>
      </w:r>
      <w:hyperlink r:id="rId4" w:history="1">
        <w:r w:rsidR="00E76A87">
          <w:rPr>
            <w:rStyle w:val="FootnoteReference"/>
          </w:rPr>
          <w:t>Guidance on Risk-based Approach for the Accounting Profession</w:t>
        </w:r>
      </w:hyperlink>
      <w:r w:rsidRPr="001B7C71">
        <w:rPr>
          <w:rStyle w:val="FootnoteReference"/>
        </w:rPr>
        <w:t xml:space="preserve"> (2019)</w:t>
      </w:r>
      <w:r w:rsidR="00557DE7" w:rsidRPr="001B7C71">
        <w:rPr>
          <w:rStyle w:val="FootnoteReference"/>
        </w:rPr>
        <w:t>.</w:t>
      </w:r>
    </w:p>
  </w:footnote>
  <w:footnote w:id="27">
    <w:p w14:paraId="08074E35" w14:textId="77777777" w:rsidR="00F16E5B" w:rsidRPr="001B7C71" w:rsidRDefault="00F16E5B" w:rsidP="002B657E">
      <w:pPr>
        <w:pStyle w:val="FootnoteText"/>
        <w:spacing w:after="0"/>
        <w:rPr>
          <w:rStyle w:val="FootnoteReference"/>
        </w:rPr>
      </w:pPr>
      <w:r w:rsidRPr="001B7C71">
        <w:rPr>
          <w:rStyle w:val="FootnoteReference"/>
        </w:rPr>
        <w:footnoteRef/>
      </w:r>
      <w:r w:rsidRPr="001B7C71">
        <w:rPr>
          <w:rStyle w:val="FootnoteReference"/>
        </w:rPr>
        <w:t xml:space="preserve"> See FATF </w:t>
      </w:r>
      <w:hyperlink r:id="rId5" w:history="1">
        <w:r w:rsidR="00E76A87">
          <w:rPr>
            <w:rStyle w:val="FootnoteReference"/>
          </w:rPr>
          <w:t>Guidance on Risk-Based Approach for Trust &amp; Company Service Providers</w:t>
        </w:r>
      </w:hyperlink>
      <w:r w:rsidRPr="001B7C71">
        <w:rPr>
          <w:rStyle w:val="FootnoteReference"/>
        </w:rPr>
        <w:t xml:space="preserve"> (2019) paragraphs 26-30</w:t>
      </w:r>
      <w:r w:rsidR="00557DE7" w:rsidRPr="001B7C71">
        <w:rPr>
          <w:rStyle w:val="FootnoteReference"/>
        </w:rPr>
        <w:t>.</w:t>
      </w:r>
      <w:r w:rsidRPr="001B7C71">
        <w:rPr>
          <w:rStyle w:val="FootnoteReference"/>
        </w:rPr>
        <w:t xml:space="preserve">.  </w:t>
      </w:r>
    </w:p>
  </w:footnote>
  <w:footnote w:id="28">
    <w:p w14:paraId="1B4FFFE7" w14:textId="77777777" w:rsidR="00F16E5B" w:rsidRPr="001B7C71" w:rsidRDefault="00F16E5B" w:rsidP="00AD7055">
      <w:pPr>
        <w:pStyle w:val="FootnoteText"/>
        <w:spacing w:after="0"/>
        <w:rPr>
          <w:rStyle w:val="FootnoteReference"/>
        </w:rPr>
      </w:pPr>
      <w:r w:rsidRPr="001B7C71">
        <w:rPr>
          <w:rStyle w:val="FootnoteReference"/>
        </w:rPr>
        <w:footnoteRef/>
      </w:r>
      <w:r w:rsidRPr="001B7C71">
        <w:rPr>
          <w:rStyle w:val="FootnoteReference"/>
        </w:rPr>
        <w:t xml:space="preserve"> See FATF </w:t>
      </w:r>
      <w:hyperlink r:id="rId6" w:history="1">
        <w:r w:rsidR="00E76A87">
          <w:rPr>
            <w:rStyle w:val="FootnoteReference"/>
          </w:rPr>
          <w:t>Guidance on Risk-Based Approach for Trust &amp; Company Service Providers</w:t>
        </w:r>
      </w:hyperlink>
      <w:r w:rsidRPr="001B7C71">
        <w:rPr>
          <w:rStyle w:val="FootnoteReference"/>
        </w:rPr>
        <w:t xml:space="preserve"> (2019) paragraphs 186</w:t>
      </w:r>
      <w:r w:rsidR="00557DE7" w:rsidRPr="001B7C71">
        <w:rPr>
          <w:rStyle w:val="FootnoteReference"/>
        </w:rPr>
        <w:t>.</w:t>
      </w:r>
      <w:r w:rsidRPr="001B7C71">
        <w:rPr>
          <w:rStyle w:val="FootnoteReference"/>
        </w:rPr>
        <w:t xml:space="preserve"> </w:t>
      </w:r>
    </w:p>
  </w:footnote>
  <w:footnote w:id="29">
    <w:p w14:paraId="671900AE" w14:textId="77777777" w:rsidR="00F16E5B" w:rsidRPr="001B7C71" w:rsidRDefault="00F16E5B" w:rsidP="00AD7055">
      <w:pPr>
        <w:pStyle w:val="FootnoteText"/>
        <w:spacing w:after="0"/>
        <w:rPr>
          <w:rStyle w:val="FootnoteReference"/>
        </w:rPr>
      </w:pPr>
      <w:r w:rsidRPr="001B7C71">
        <w:rPr>
          <w:rStyle w:val="FootnoteReference"/>
        </w:rPr>
        <w:footnoteRef/>
      </w:r>
      <w:r w:rsidRPr="001B7C71">
        <w:rPr>
          <w:rStyle w:val="FootnoteReference"/>
        </w:rPr>
        <w:t xml:space="preserve"> See FATF </w:t>
      </w:r>
      <w:hyperlink r:id="rId7" w:history="1">
        <w:r w:rsidR="00E76A87">
          <w:rPr>
            <w:rStyle w:val="FootnoteReference"/>
          </w:rPr>
          <w:t>Guidance on Risk-Based Approach for Trust &amp; Company Service Providers</w:t>
        </w:r>
      </w:hyperlink>
      <w:r w:rsidRPr="001B7C71">
        <w:rPr>
          <w:rStyle w:val="FootnoteReference"/>
        </w:rPr>
        <w:t xml:space="preserve"> (2019) Annex 1</w:t>
      </w:r>
      <w:r w:rsidR="00557DE7" w:rsidRPr="001B7C71">
        <w:rPr>
          <w:rStyle w:val="FootnoteReference"/>
        </w:rPr>
        <w:t>.</w:t>
      </w:r>
    </w:p>
  </w:footnote>
  <w:footnote w:id="30">
    <w:p w14:paraId="453C0327" w14:textId="77777777" w:rsidR="00F16E5B" w:rsidRPr="001B7C71" w:rsidRDefault="00F16E5B" w:rsidP="00AD7055">
      <w:pPr>
        <w:pStyle w:val="FootnoteText"/>
        <w:spacing w:after="0"/>
        <w:rPr>
          <w:rStyle w:val="FootnoteReference"/>
        </w:rPr>
      </w:pPr>
      <w:r w:rsidRPr="001B7C71">
        <w:rPr>
          <w:rStyle w:val="FootnoteReference"/>
        </w:rPr>
        <w:footnoteRef/>
      </w:r>
      <w:r w:rsidRPr="001B7C71">
        <w:rPr>
          <w:rStyle w:val="FootnoteReference"/>
        </w:rPr>
        <w:t xml:space="preserve"> See FATF </w:t>
      </w:r>
      <w:hyperlink r:id="rId8" w:history="1">
        <w:r w:rsidR="00E76A87">
          <w:rPr>
            <w:rStyle w:val="FootnoteReference"/>
          </w:rPr>
          <w:t>Guidance on Beneficial Ownership for Legal Persons (2023)</w:t>
        </w:r>
      </w:hyperlink>
      <w:r w:rsidRPr="001B7C71">
        <w:rPr>
          <w:rStyle w:val="FootnoteReference"/>
        </w:rPr>
        <w:t>, section 15 on nominees.</w:t>
      </w:r>
    </w:p>
  </w:footnote>
  <w:footnote w:id="31">
    <w:p w14:paraId="2A51D73F" w14:textId="77777777" w:rsidR="00F16E5B" w:rsidRPr="001B7C71" w:rsidRDefault="00F16E5B" w:rsidP="00AD7055">
      <w:pPr>
        <w:pStyle w:val="FootnoteText"/>
        <w:spacing w:after="0"/>
        <w:rPr>
          <w:rStyle w:val="FootnoteReference"/>
        </w:rPr>
      </w:pPr>
      <w:r w:rsidRPr="001B7C71">
        <w:rPr>
          <w:rStyle w:val="FootnoteReference"/>
        </w:rPr>
        <w:footnoteRef/>
      </w:r>
      <w:r w:rsidRPr="001B7C71">
        <w:rPr>
          <w:rStyle w:val="FootnoteReference"/>
        </w:rPr>
        <w:t xml:space="preserve"> This is recognised as an aspect of the fundamental right of access to justice laid down in the Universal Declaration of Human Rights. This right is recognised in the FATF </w:t>
      </w:r>
      <w:r w:rsidR="00E945F4" w:rsidRPr="001B7C71">
        <w:rPr>
          <w:rStyle w:val="FootnoteReference"/>
        </w:rPr>
        <w:t>R</w:t>
      </w:r>
      <w:r w:rsidR="00DE040A" w:rsidRPr="001B7C71">
        <w:rPr>
          <w:rStyle w:val="FootnoteReference"/>
        </w:rPr>
        <w:t>ecommendation</w:t>
      </w:r>
      <w:r w:rsidRPr="001B7C71">
        <w:rPr>
          <w:rStyle w:val="FootnoteReference"/>
        </w:rPr>
        <w:t>s which exclude information covered by legal professional privilege or professional secrecy from the obligation to file a suspicious transaction report and provides that it is a matter for each country as to what those terms cover.</w:t>
      </w:r>
    </w:p>
  </w:footnote>
  <w:footnote w:id="32">
    <w:p w14:paraId="20BB4AD4" w14:textId="77777777" w:rsidR="00F16E5B" w:rsidRPr="001B7C71" w:rsidRDefault="00F16E5B" w:rsidP="00AD7055">
      <w:pPr>
        <w:pStyle w:val="FootnoteText"/>
        <w:spacing w:after="0"/>
        <w:rPr>
          <w:rStyle w:val="FootnoteReference"/>
        </w:rPr>
      </w:pPr>
      <w:r w:rsidRPr="001B7C71">
        <w:rPr>
          <w:rStyle w:val="FootnoteReference"/>
        </w:rPr>
        <w:footnoteRef/>
      </w:r>
      <w:r w:rsidRPr="001B7C71">
        <w:rPr>
          <w:rStyle w:val="FootnoteReference"/>
        </w:rPr>
        <w:t xml:space="preserve"> See FATF </w:t>
      </w:r>
      <w:hyperlink r:id="rId9" w:history="1">
        <w:r w:rsidR="00E76A87">
          <w:rPr>
            <w:rStyle w:val="FootnoteReference"/>
          </w:rPr>
          <w:t>Guidance on Risk-based Approach for Legal Professionals</w:t>
        </w:r>
      </w:hyperlink>
      <w:r w:rsidRPr="001B7C71">
        <w:rPr>
          <w:rStyle w:val="FootnoteReference"/>
        </w:rPr>
        <w:t xml:space="preserve"> (2019)</w:t>
      </w:r>
      <w:r w:rsidR="00E00ECB" w:rsidRPr="001B7C71">
        <w:rPr>
          <w:rStyle w:val="FootnoteReference"/>
        </w:rPr>
        <w:t>.</w:t>
      </w:r>
    </w:p>
  </w:footnote>
  <w:footnote w:id="33">
    <w:p w14:paraId="4C3270AB" w14:textId="77777777" w:rsidR="00F16E5B" w:rsidRPr="001B7C71" w:rsidRDefault="00F16E5B" w:rsidP="00AD7055">
      <w:pPr>
        <w:pStyle w:val="FootnoteText"/>
        <w:rPr>
          <w:rStyle w:val="FootnoteReference"/>
        </w:rPr>
      </w:pPr>
      <w:r w:rsidRPr="001B7C71">
        <w:rPr>
          <w:rStyle w:val="FootnoteReference"/>
        </w:rPr>
        <w:footnoteRef/>
      </w:r>
      <w:r w:rsidRPr="001B7C71">
        <w:rPr>
          <w:rStyle w:val="FootnoteReference"/>
        </w:rPr>
        <w:t xml:space="preserve"> World Bank/UNODC </w:t>
      </w:r>
      <w:proofErr w:type="spellStart"/>
      <w:r w:rsidRPr="001B7C71">
        <w:rPr>
          <w:rStyle w:val="FootnoteReference"/>
        </w:rPr>
        <w:t>StAR</w:t>
      </w:r>
      <w:proofErr w:type="spellEnd"/>
      <w:r w:rsidRPr="001B7C71">
        <w:rPr>
          <w:rStyle w:val="FootnoteReference"/>
        </w:rPr>
        <w:t xml:space="preserve"> report (2011), p.94.</w:t>
      </w:r>
    </w:p>
  </w:footnote>
  <w:footnote w:id="34">
    <w:p w14:paraId="46193F2A" w14:textId="77777777" w:rsidR="00F16E5B" w:rsidRPr="00300E4F" w:rsidRDefault="00F16E5B" w:rsidP="00AD7055">
      <w:pPr>
        <w:pStyle w:val="FootnoteText"/>
        <w:rPr>
          <w:lang w:val="en-US"/>
        </w:rPr>
      </w:pPr>
      <w:r w:rsidRPr="001B7C71">
        <w:rPr>
          <w:rStyle w:val="FootnoteReference"/>
        </w:rPr>
        <w:footnoteRef/>
      </w:r>
      <w:r w:rsidRPr="001B7C71">
        <w:rPr>
          <w:rStyle w:val="FootnoteReference"/>
        </w:rPr>
        <w:t xml:space="preserve"> See FATF </w:t>
      </w:r>
      <w:hyperlink r:id="rId10" w:history="1">
        <w:r w:rsidR="00E76A87">
          <w:rPr>
            <w:rStyle w:val="FootnoteReference"/>
          </w:rPr>
          <w:t>Guidance on Risk-based Approach for Legal Professionals</w:t>
        </w:r>
      </w:hyperlink>
      <w:r w:rsidRPr="001B7C71">
        <w:rPr>
          <w:rStyle w:val="FootnoteReference"/>
        </w:rPr>
        <w:t xml:space="preserve"> (2019) which confirms “legal professional privilege or professional secrecy does not protect a legal professional from knowingly facilitating a client’s illegal conduct”</w:t>
      </w:r>
      <w:r w:rsidR="00E00ECB" w:rsidRPr="001B7C71">
        <w:rPr>
          <w:rStyle w:val="FootnoteReference"/>
        </w:rPr>
        <w:t>.</w:t>
      </w:r>
    </w:p>
  </w:footnote>
  <w:footnote w:id="35">
    <w:p w14:paraId="51990F70" w14:textId="77777777" w:rsidR="003A6712" w:rsidRPr="001B7C71" w:rsidRDefault="003A6712" w:rsidP="00AD7055">
      <w:pPr>
        <w:pStyle w:val="FootnoteText"/>
        <w:spacing w:after="0"/>
        <w:rPr>
          <w:rStyle w:val="FootnoteReference"/>
        </w:rPr>
      </w:pPr>
      <w:r w:rsidRPr="001B7C71">
        <w:rPr>
          <w:rStyle w:val="FootnoteReference"/>
        </w:rPr>
        <w:footnoteRef/>
      </w:r>
      <w:r w:rsidRPr="001B7C71">
        <w:rPr>
          <w:rStyle w:val="FootnoteReference"/>
        </w:rPr>
        <w:t xml:space="preserve"> IN </w:t>
      </w:r>
      <w:r w:rsidR="00E945F4" w:rsidRPr="001B7C71">
        <w:rPr>
          <w:rStyle w:val="FootnoteReference"/>
        </w:rPr>
        <w:t>R.</w:t>
      </w:r>
      <w:r w:rsidRPr="001B7C71">
        <w:rPr>
          <w:rStyle w:val="FootnoteReference"/>
        </w:rPr>
        <w:t xml:space="preserve">16, paragraphs 11-18.  </w:t>
      </w:r>
    </w:p>
  </w:footnote>
  <w:footnote w:id="36">
    <w:p w14:paraId="77F22C14" w14:textId="77777777" w:rsidR="003A6712" w:rsidRPr="005551D9" w:rsidRDefault="003A6712" w:rsidP="00AD7055">
      <w:pPr>
        <w:pStyle w:val="FootnoteText"/>
        <w:spacing w:after="0"/>
        <w:rPr>
          <w:rStyle w:val="FootnoteReference"/>
        </w:rPr>
      </w:pPr>
      <w:r w:rsidRPr="001B7C71">
        <w:rPr>
          <w:rStyle w:val="FootnoteReference"/>
        </w:rPr>
        <w:footnoteRef/>
      </w:r>
      <w:r w:rsidRPr="001B7C71">
        <w:rPr>
          <w:rStyle w:val="FootnoteReference"/>
        </w:rPr>
        <w:t xml:space="preserve"> See FATF </w:t>
      </w:r>
      <w:hyperlink r:id="rId11" w:history="1">
        <w:r w:rsidR="00E76A87">
          <w:rPr>
            <w:rStyle w:val="FootnoteReference"/>
          </w:rPr>
          <w:t>Guidance on Risk-Based Approach for Trust &amp; Company Service Providers</w:t>
        </w:r>
      </w:hyperlink>
      <w:r w:rsidRPr="001B7C71">
        <w:rPr>
          <w:rStyle w:val="FootnoteReference"/>
        </w:rPr>
        <w:t xml:space="preserve"> (2019), </w:t>
      </w:r>
      <w:hyperlink r:id="rId12" w:history="1">
        <w:r w:rsidR="00E76A87">
          <w:rPr>
            <w:rStyle w:val="FootnoteReference"/>
          </w:rPr>
          <w:t>Guidance on Risk-based Approach for Legal Professionals</w:t>
        </w:r>
      </w:hyperlink>
      <w:r w:rsidRPr="001B7C71">
        <w:rPr>
          <w:rStyle w:val="FootnoteReference"/>
        </w:rPr>
        <w:t xml:space="preserve"> (2019) and </w:t>
      </w:r>
      <w:hyperlink r:id="rId13" w:history="1">
        <w:r w:rsidR="00E76A87">
          <w:rPr>
            <w:rStyle w:val="FootnoteReference"/>
          </w:rPr>
          <w:t>Guidance on Risk-based Approach for the Accounting Profession</w:t>
        </w:r>
      </w:hyperlink>
      <w:r w:rsidRPr="001B7C71">
        <w:rPr>
          <w:rStyle w:val="FootnoteReference"/>
        </w:rPr>
        <w:t xml:space="preserve"> (2019)</w:t>
      </w:r>
      <w:r w:rsidR="00971BB3" w:rsidRPr="001B7C71">
        <w:rPr>
          <w:rStyle w:val="FootnoteReference"/>
        </w:rPr>
        <w:t>.</w:t>
      </w:r>
    </w:p>
  </w:footnote>
  <w:footnote w:id="37">
    <w:p w14:paraId="2091E6CA" w14:textId="77777777" w:rsidR="003A6712" w:rsidRPr="001B7C71" w:rsidRDefault="003A6712" w:rsidP="003A6712">
      <w:pPr>
        <w:pStyle w:val="EndnoteText"/>
        <w:spacing w:after="0"/>
        <w:rPr>
          <w:rStyle w:val="FootnoteReference"/>
        </w:rPr>
      </w:pPr>
      <w:r w:rsidRPr="001B7C71">
        <w:rPr>
          <w:rStyle w:val="FootnoteReference"/>
        </w:rPr>
        <w:footnoteRef/>
      </w:r>
      <w:r w:rsidRPr="001B7C71">
        <w:rPr>
          <w:rStyle w:val="FootnoteReference"/>
        </w:rPr>
        <w:t xml:space="preserve"> For instance, tax-related requests should be made in accordance with international tax information agreements between jurisdictions. Therefore, if tax authorities decline to render assistance under appropriate circumstances (e.g., if the conditions under the relevant international agreements that are in line with internationally agreed standards are not met, or if it is allowable to decline to provide such assistance under the internationally agreed standards), they should not be judged as imposing “unduly restrictive conditions.”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9CD73" w14:textId="284B191F" w:rsidR="00E76A87" w:rsidRDefault="006720B6" w:rsidP="004E100F">
    <w:pPr>
      <w:pStyle w:val="Header"/>
    </w:pPr>
    <w:sdt>
      <w:sdtPr>
        <w:rPr>
          <w:rStyle w:val="PageNumber"/>
        </w:rPr>
        <w:alias w:val="Page Number"/>
        <w:tag w:val="TxtPageNumber"/>
        <w:id w:val="-1835755985"/>
        <w:lock w:val="sdtLocked"/>
      </w:sdtPr>
      <w:sdtEndPr>
        <w:rPr>
          <w:rStyle w:val="DefaultParagraphFont"/>
          <w:rFonts w:ascii="Times New Roman" w:hAnsi="Times New Roman"/>
          <w:b w:val="0"/>
        </w:rPr>
      </w:sdtEndPr>
      <w:sdtContent>
        <w:r w:rsidR="00E76A87" w:rsidRPr="00CC3749">
          <w:rPr>
            <w:rStyle w:val="PageNumber"/>
          </w:rPr>
          <w:fldChar w:fldCharType="begin"/>
        </w:r>
        <w:r w:rsidR="00E76A87" w:rsidRPr="00CC3749">
          <w:rPr>
            <w:rStyle w:val="PageNumber"/>
          </w:rPr>
          <w:instrText xml:space="preserve"> PAGE   \* MERGEFORMAT </w:instrText>
        </w:r>
        <w:r w:rsidR="00E76A87" w:rsidRPr="00CC3749">
          <w:rPr>
            <w:rStyle w:val="PageNumber"/>
          </w:rPr>
          <w:fldChar w:fldCharType="separate"/>
        </w:r>
        <w:r w:rsidR="00E76A87">
          <w:rPr>
            <w:rStyle w:val="PageNumber"/>
            <w:noProof/>
          </w:rPr>
          <w:t>2</w:t>
        </w:r>
        <w:r w:rsidR="00E76A87" w:rsidRPr="00CC3749">
          <w:rPr>
            <w:rStyle w:val="PageNumber"/>
            <w:noProof/>
          </w:rPr>
          <w:fldChar w:fldCharType="end"/>
        </w:r>
      </w:sdtContent>
    </w:sdt>
    <w:r w:rsidR="00E76A87">
      <w:t xml:space="preserve"> </w:t>
    </w:r>
    <w:r w:rsidR="00E76A87">
      <w:sym w:font="Symbol" w:char="F07C"/>
    </w:r>
    <w:r w:rsidR="00E76A87">
      <w:t xml:space="preserve"> </w:t>
    </w:r>
    <w:sdt>
      <w:sdtPr>
        <w:rPr>
          <w:rStyle w:val="HeaderTitle"/>
        </w:rPr>
        <w:alias w:val="Cote/Chapter"/>
        <w:tag w:val="txtHeaderValue"/>
        <w:id w:val="-308635562"/>
        <w:lock w:val="sdtLocked"/>
      </w:sdtPr>
      <w:sdtEndPr>
        <w:rPr>
          <w:rStyle w:val="DefaultParagraphFont"/>
          <w:rFonts w:ascii="Times New Roman" w:hAnsi="Times New Roman"/>
          <w:caps w:val="0"/>
          <w:sz w:val="22"/>
        </w:rPr>
      </w:sdtEndP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27B9D" w14:textId="6E8D059F" w:rsidR="00E76A87" w:rsidRDefault="006720B6" w:rsidP="004E100F">
    <w:pPr>
      <w:pStyle w:val="Header"/>
      <w:jc w:val="right"/>
    </w:pPr>
    <w:sdt>
      <w:sdtPr>
        <w:rPr>
          <w:rStyle w:val="HeaderTitle"/>
        </w:rPr>
        <w:alias w:val="Cote/Chapter"/>
        <w:tag w:val="txtHeaderValue"/>
        <w:id w:val="-244348000"/>
        <w:lock w:val="sdtLocked"/>
      </w:sdtPr>
      <w:sdtEndPr>
        <w:rPr>
          <w:rStyle w:val="DefaultParagraphFont"/>
          <w:rFonts w:ascii="Times New Roman" w:hAnsi="Times New Roman"/>
          <w:caps w:val="0"/>
          <w:sz w:val="22"/>
        </w:rPr>
      </w:sdtEndPr>
      <w:sdtContent/>
    </w:sdt>
    <w:r w:rsidR="00E76A87">
      <w:rPr>
        <w:rStyle w:val="PageNumber"/>
      </w:rPr>
      <w:t xml:space="preserve"> </w:t>
    </w:r>
    <w:r w:rsidR="00E76A87">
      <w:rPr>
        <w:rStyle w:val="PageNumber"/>
      </w:rPr>
      <w:sym w:font="Symbol" w:char="F07C"/>
    </w:r>
    <w:r w:rsidR="00E76A87">
      <w:rPr>
        <w:rStyle w:val="PageNumber"/>
      </w:rPr>
      <w:t xml:space="preserve"> </w:t>
    </w:r>
    <w:sdt>
      <w:sdtPr>
        <w:rPr>
          <w:rStyle w:val="PageNumber"/>
        </w:rPr>
        <w:alias w:val="Page Number"/>
        <w:tag w:val="TxtPageNumber"/>
        <w:id w:val="1076251128"/>
        <w:lock w:val="sdtLocked"/>
      </w:sdtPr>
      <w:sdtEndPr>
        <w:rPr>
          <w:rStyle w:val="DefaultParagraphFont"/>
          <w:rFonts w:ascii="Times New Roman" w:hAnsi="Times New Roman"/>
          <w:b w:val="0"/>
        </w:rPr>
      </w:sdtEndPr>
      <w:sdtContent>
        <w:r w:rsidR="00E76A87" w:rsidRPr="00CC3749">
          <w:rPr>
            <w:rStyle w:val="PageNumber"/>
          </w:rPr>
          <w:fldChar w:fldCharType="begin"/>
        </w:r>
        <w:r w:rsidR="00E76A87" w:rsidRPr="00CC3749">
          <w:rPr>
            <w:rStyle w:val="PageNumber"/>
          </w:rPr>
          <w:instrText xml:space="preserve"> PAGE   \* MERGEFORMAT </w:instrText>
        </w:r>
        <w:r w:rsidR="00E76A87" w:rsidRPr="00CC3749">
          <w:rPr>
            <w:rStyle w:val="PageNumber"/>
          </w:rPr>
          <w:fldChar w:fldCharType="separate"/>
        </w:r>
        <w:r w:rsidR="00E76A87">
          <w:rPr>
            <w:rStyle w:val="PageNumber"/>
            <w:noProof/>
          </w:rPr>
          <w:t>3</w:t>
        </w:r>
        <w:r w:rsidR="00E76A87" w:rsidRPr="00CC3749">
          <w:rPr>
            <w:rStyle w:val="PageNumbe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B0F"/>
    <w:multiLevelType w:val="hybridMultilevel"/>
    <w:tmpl w:val="BFC47686"/>
    <w:lvl w:ilvl="0" w:tplc="FFFFFFFF">
      <w:start w:val="56"/>
      <w:numFmt w:val="decimal"/>
      <w:lvlText w:val="%1."/>
      <w:lvlJc w:val="left"/>
      <w:pPr>
        <w:ind w:left="562"/>
      </w:pPr>
      <w:rPr>
        <w:rFonts w:ascii="Cambria" w:eastAsia="Cambria" w:hAnsi="Cambria" w:cs="Cambria" w:hint="default"/>
        <w:b w:val="0"/>
        <w:i w:val="0"/>
        <w:strike w:val="0"/>
        <w:dstrike w:val="0"/>
        <w:color w:val="000000"/>
        <w:sz w:val="22"/>
        <w:szCs w:val="22"/>
        <w:u w:val="none" w:color="000000"/>
        <w:bdr w:val="none" w:sz="0" w:space="0" w:color="auto"/>
        <w:shd w:val="clear" w:color="auto" w:fill="auto"/>
        <w:vertAlign w:val="baseline"/>
      </w:rPr>
    </w:lvl>
    <w:lvl w:ilvl="1" w:tplc="04090017">
      <w:start w:val="1"/>
      <w:numFmt w:val="lowerLetter"/>
      <w:lvlText w:val="%2)"/>
      <w:lvlJc w:val="left"/>
      <w:pPr>
        <w:ind w:left="1721" w:hanging="360"/>
      </w:pPr>
    </w:lvl>
    <w:lvl w:ilvl="2" w:tplc="FFFFFFFF">
      <w:start w:val="1"/>
      <w:numFmt w:val="lowerRoman"/>
      <w:lvlText w:val="%3"/>
      <w:lvlJc w:val="left"/>
      <w:pPr>
        <w:ind w:left="21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5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2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9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B54F44"/>
    <w:multiLevelType w:val="hybridMultilevel"/>
    <w:tmpl w:val="03680146"/>
    <w:lvl w:ilvl="0" w:tplc="FFFFFFFF">
      <w:start w:val="1"/>
      <w:numFmt w:val="lowerLetter"/>
      <w:lvlText w:val="%1)"/>
      <w:lvlJc w:val="left"/>
      <w:pPr>
        <w:tabs>
          <w:tab w:val="num" w:pos="340"/>
        </w:tabs>
        <w:ind w:left="1361" w:hanging="340"/>
      </w:pPr>
      <w:rPr>
        <w:rFonts w:hint="default"/>
      </w:rPr>
    </w:lvl>
    <w:lvl w:ilvl="1" w:tplc="FFFFFFFF">
      <w:start w:val="1"/>
      <w:numFmt w:val="bullet"/>
      <w:lvlText w:val="o"/>
      <w:lvlJc w:val="left"/>
      <w:pPr>
        <w:tabs>
          <w:tab w:val="num" w:pos="340"/>
        </w:tabs>
        <w:ind w:left="1701" w:hanging="340"/>
      </w:pPr>
      <w:rPr>
        <w:rFonts w:ascii="Courier New" w:hAnsi="Courier New" w:hint="default"/>
      </w:rPr>
    </w:lvl>
    <w:lvl w:ilvl="2" w:tplc="FFFFFFFF">
      <w:start w:val="1"/>
      <w:numFmt w:val="bullet"/>
      <w:lvlText w:val="‒"/>
      <w:lvlJc w:val="left"/>
      <w:pPr>
        <w:tabs>
          <w:tab w:val="num" w:pos="340"/>
        </w:tabs>
        <w:ind w:left="2041" w:hanging="340"/>
      </w:pPr>
      <w:rPr>
        <w:rFonts w:ascii="Calibri" w:hAnsi="Calibri" w:hint="default"/>
      </w:rPr>
    </w:lvl>
    <w:lvl w:ilvl="3" w:tplc="FFFFFFFF">
      <w:start w:val="1"/>
      <w:numFmt w:val="bullet"/>
      <w:lvlText w:val="‒"/>
      <w:lvlJc w:val="left"/>
      <w:pPr>
        <w:tabs>
          <w:tab w:val="num" w:pos="340"/>
        </w:tabs>
        <w:ind w:left="2381" w:hanging="340"/>
      </w:pPr>
      <w:rPr>
        <w:rFonts w:ascii="Calibri" w:hAnsi="Calibri" w:hint="default"/>
      </w:rPr>
    </w:lvl>
    <w:lvl w:ilvl="4" w:tplc="FFFFFFFF">
      <w:start w:val="1"/>
      <w:numFmt w:val="bullet"/>
      <w:lvlText w:val="‒"/>
      <w:lvlJc w:val="left"/>
      <w:pPr>
        <w:tabs>
          <w:tab w:val="num" w:pos="340"/>
        </w:tabs>
        <w:ind w:left="2722" w:hanging="341"/>
      </w:pPr>
      <w:rPr>
        <w:rFonts w:ascii="Calibri" w:hAnsi="Calibri" w:hint="default"/>
      </w:rPr>
    </w:lvl>
    <w:lvl w:ilvl="5" w:tplc="1442AD42">
      <w:numFmt w:val="bullet"/>
      <w:lvlText w:val=""/>
      <w:lvlJc w:val="left"/>
      <w:pPr>
        <w:ind w:left="4774" w:hanging="360"/>
      </w:pPr>
      <w:rPr>
        <w:rFonts w:ascii="Symbol" w:eastAsiaTheme="minorHAnsi" w:hAnsi="Symbol" w:cs="Times New Roman"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2" w15:restartNumberingAfterBreak="0">
    <w:nsid w:val="0B9D40DB"/>
    <w:multiLevelType w:val="hybridMultilevel"/>
    <w:tmpl w:val="C734B6EA"/>
    <w:lvl w:ilvl="0" w:tplc="04090017">
      <w:start w:val="1"/>
      <w:numFmt w:val="lowerLetter"/>
      <w:lvlText w:val="%1)"/>
      <w:lvlJc w:val="left"/>
      <w:pPr>
        <w:tabs>
          <w:tab w:val="num" w:pos="340"/>
        </w:tabs>
        <w:ind w:left="1361" w:hanging="340"/>
      </w:pPr>
      <w:rPr>
        <w:rFonts w:hint="default"/>
      </w:rPr>
    </w:lvl>
    <w:lvl w:ilvl="1" w:tplc="FFFFFFFF">
      <w:start w:val="1"/>
      <w:numFmt w:val="bullet"/>
      <w:lvlText w:val="o"/>
      <w:lvlJc w:val="left"/>
      <w:pPr>
        <w:tabs>
          <w:tab w:val="num" w:pos="340"/>
        </w:tabs>
        <w:ind w:left="1701" w:hanging="340"/>
      </w:pPr>
      <w:rPr>
        <w:rFonts w:ascii="Courier New" w:hAnsi="Courier New" w:hint="default"/>
      </w:rPr>
    </w:lvl>
    <w:lvl w:ilvl="2" w:tplc="FFFFFFFF">
      <w:start w:val="1"/>
      <w:numFmt w:val="bullet"/>
      <w:lvlText w:val="‒"/>
      <w:lvlJc w:val="left"/>
      <w:pPr>
        <w:tabs>
          <w:tab w:val="num" w:pos="340"/>
        </w:tabs>
        <w:ind w:left="2041" w:hanging="340"/>
      </w:pPr>
      <w:rPr>
        <w:rFonts w:ascii="Calibri" w:hAnsi="Calibri" w:hint="default"/>
      </w:rPr>
    </w:lvl>
    <w:lvl w:ilvl="3" w:tplc="FFFFFFFF">
      <w:start w:val="1"/>
      <w:numFmt w:val="bullet"/>
      <w:lvlText w:val="‒"/>
      <w:lvlJc w:val="left"/>
      <w:pPr>
        <w:tabs>
          <w:tab w:val="num" w:pos="340"/>
        </w:tabs>
        <w:ind w:left="2381" w:hanging="340"/>
      </w:pPr>
      <w:rPr>
        <w:rFonts w:ascii="Calibri" w:hAnsi="Calibri" w:hint="default"/>
      </w:rPr>
    </w:lvl>
    <w:lvl w:ilvl="4" w:tplc="FFFFFFFF">
      <w:start w:val="1"/>
      <w:numFmt w:val="bullet"/>
      <w:lvlText w:val="‒"/>
      <w:lvlJc w:val="left"/>
      <w:pPr>
        <w:tabs>
          <w:tab w:val="num" w:pos="340"/>
        </w:tabs>
        <w:ind w:left="2722" w:hanging="341"/>
      </w:pPr>
      <w:rPr>
        <w:rFonts w:ascii="Calibri" w:hAnsi="Calibri"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3" w15:restartNumberingAfterBreak="0">
    <w:nsid w:val="140535B8"/>
    <w:multiLevelType w:val="hybridMultilevel"/>
    <w:tmpl w:val="8B34BFAC"/>
    <w:lvl w:ilvl="0" w:tplc="FFFFFFFF">
      <w:start w:val="1"/>
      <w:numFmt w:val="bullet"/>
      <w:lvlText w:val=""/>
      <w:lvlJc w:val="left"/>
      <w:pPr>
        <w:tabs>
          <w:tab w:val="num" w:pos="340"/>
        </w:tabs>
        <w:ind w:left="1361" w:hanging="340"/>
      </w:pPr>
      <w:rPr>
        <w:rFonts w:ascii="Symbol" w:hAnsi="Symbol" w:hint="default"/>
      </w:rPr>
    </w:lvl>
    <w:lvl w:ilvl="1" w:tplc="108661B8">
      <w:start w:val="1"/>
      <w:numFmt w:val="lowerRoman"/>
      <w:lvlText w:val="%2"/>
      <w:lvlJc w:val="left"/>
      <w:pPr>
        <w:ind w:left="1353" w:hanging="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tabs>
          <w:tab w:val="num" w:pos="340"/>
        </w:tabs>
        <w:ind w:left="2041" w:hanging="340"/>
      </w:pPr>
      <w:rPr>
        <w:rFonts w:ascii="Calibri" w:hAnsi="Calibri" w:hint="default"/>
      </w:rPr>
    </w:lvl>
    <w:lvl w:ilvl="3" w:tplc="FFFFFFFF">
      <w:start w:val="1"/>
      <w:numFmt w:val="bullet"/>
      <w:lvlText w:val="‒"/>
      <w:lvlJc w:val="left"/>
      <w:pPr>
        <w:tabs>
          <w:tab w:val="num" w:pos="340"/>
        </w:tabs>
        <w:ind w:left="2381" w:hanging="340"/>
      </w:pPr>
      <w:rPr>
        <w:rFonts w:ascii="Calibri" w:hAnsi="Calibri" w:hint="default"/>
      </w:rPr>
    </w:lvl>
    <w:lvl w:ilvl="4" w:tplc="FFFFFFFF">
      <w:start w:val="1"/>
      <w:numFmt w:val="bullet"/>
      <w:lvlText w:val="‒"/>
      <w:lvlJc w:val="left"/>
      <w:pPr>
        <w:tabs>
          <w:tab w:val="num" w:pos="340"/>
        </w:tabs>
        <w:ind w:left="2722" w:hanging="341"/>
      </w:pPr>
      <w:rPr>
        <w:rFonts w:ascii="Calibri" w:hAnsi="Calibri"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4" w15:restartNumberingAfterBreak="0">
    <w:nsid w:val="174C7D2A"/>
    <w:multiLevelType w:val="hybridMultilevel"/>
    <w:tmpl w:val="4408701C"/>
    <w:lvl w:ilvl="0" w:tplc="04090017">
      <w:start w:val="1"/>
      <w:numFmt w:val="lowerLetter"/>
      <w:lvlText w:val="%1)"/>
      <w:lvlJc w:val="left"/>
      <w:pPr>
        <w:tabs>
          <w:tab w:val="num" w:pos="340"/>
        </w:tabs>
        <w:ind w:left="1361" w:hanging="340"/>
      </w:pPr>
      <w:rPr>
        <w:rFonts w:hint="default"/>
      </w:rPr>
    </w:lvl>
    <w:lvl w:ilvl="1" w:tplc="FFFFFFFF">
      <w:start w:val="1"/>
      <w:numFmt w:val="bullet"/>
      <w:lvlText w:val="o"/>
      <w:lvlJc w:val="left"/>
      <w:pPr>
        <w:tabs>
          <w:tab w:val="num" w:pos="340"/>
        </w:tabs>
        <w:ind w:left="1701" w:hanging="340"/>
      </w:pPr>
      <w:rPr>
        <w:rFonts w:ascii="Courier New" w:hAnsi="Courier New" w:hint="default"/>
      </w:rPr>
    </w:lvl>
    <w:lvl w:ilvl="2" w:tplc="FFFFFFFF">
      <w:start w:val="1"/>
      <w:numFmt w:val="bullet"/>
      <w:lvlText w:val="‒"/>
      <w:lvlJc w:val="left"/>
      <w:pPr>
        <w:tabs>
          <w:tab w:val="num" w:pos="340"/>
        </w:tabs>
        <w:ind w:left="2041" w:hanging="340"/>
      </w:pPr>
      <w:rPr>
        <w:rFonts w:ascii="Calibri" w:hAnsi="Calibri" w:hint="default"/>
      </w:rPr>
    </w:lvl>
    <w:lvl w:ilvl="3" w:tplc="FFFFFFFF">
      <w:start w:val="1"/>
      <w:numFmt w:val="bullet"/>
      <w:lvlText w:val="‒"/>
      <w:lvlJc w:val="left"/>
      <w:pPr>
        <w:tabs>
          <w:tab w:val="num" w:pos="340"/>
        </w:tabs>
        <w:ind w:left="2381" w:hanging="340"/>
      </w:pPr>
      <w:rPr>
        <w:rFonts w:ascii="Calibri" w:hAnsi="Calibri" w:hint="default"/>
      </w:rPr>
    </w:lvl>
    <w:lvl w:ilvl="4" w:tplc="FFFFFFFF">
      <w:start w:val="1"/>
      <w:numFmt w:val="bullet"/>
      <w:lvlText w:val="‒"/>
      <w:lvlJc w:val="left"/>
      <w:pPr>
        <w:tabs>
          <w:tab w:val="num" w:pos="340"/>
        </w:tabs>
        <w:ind w:left="2722" w:hanging="341"/>
      </w:pPr>
      <w:rPr>
        <w:rFonts w:ascii="Calibri" w:hAnsi="Calibri"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5" w15:restartNumberingAfterBreak="0">
    <w:nsid w:val="17A725E9"/>
    <w:multiLevelType w:val="hybridMultilevel"/>
    <w:tmpl w:val="BDD8B256"/>
    <w:lvl w:ilvl="0" w:tplc="74F423D6">
      <w:start w:val="1"/>
      <w:numFmt w:val="lowerLetter"/>
      <w:pStyle w:val="ProposedAction"/>
      <w:lvlText w:val="%1)"/>
      <w:lvlJc w:val="left"/>
      <w:pPr>
        <w:ind w:left="1400" w:hanging="360"/>
      </w:pPr>
    </w:lvl>
    <w:lvl w:ilvl="1" w:tplc="D7206700">
      <w:start w:val="1"/>
      <w:numFmt w:val="lowerRoman"/>
      <w:lvlText w:val="%2)"/>
      <w:lvlJc w:val="left"/>
      <w:pPr>
        <w:tabs>
          <w:tab w:val="num" w:pos="567"/>
        </w:tabs>
        <w:ind w:left="2835" w:hanging="567"/>
      </w:pPr>
      <w:rPr>
        <w:rFonts w:hint="default"/>
      </w:rPr>
    </w:lvl>
    <w:lvl w:ilvl="2" w:tplc="F77E56A6">
      <w:start w:val="1"/>
      <w:numFmt w:val="lowerRoman"/>
      <w:lvlText w:val="%3."/>
      <w:lvlJc w:val="right"/>
      <w:pPr>
        <w:ind w:left="4309" w:hanging="487"/>
      </w:pPr>
      <w:rPr>
        <w:rFonts w:hint="default"/>
      </w:rPr>
    </w:lvl>
    <w:lvl w:ilvl="3" w:tplc="6D8AD84E">
      <w:start w:val="1"/>
      <w:numFmt w:val="decimal"/>
      <w:lvlText w:val="%4."/>
      <w:lvlJc w:val="left"/>
      <w:pPr>
        <w:ind w:left="4723" w:hanging="363"/>
      </w:pPr>
      <w:rPr>
        <w:rFonts w:hint="default"/>
      </w:rPr>
    </w:lvl>
    <w:lvl w:ilvl="4" w:tplc="6F2EB210">
      <w:start w:val="1"/>
      <w:numFmt w:val="lowerLetter"/>
      <w:lvlText w:val="%5."/>
      <w:lvlJc w:val="left"/>
      <w:pPr>
        <w:ind w:left="5443" w:hanging="363"/>
      </w:pPr>
      <w:rPr>
        <w:rFonts w:hint="default"/>
      </w:rPr>
    </w:lvl>
    <w:lvl w:ilvl="5" w:tplc="054A5176">
      <w:start w:val="1"/>
      <w:numFmt w:val="lowerRoman"/>
      <w:lvlText w:val="%6."/>
      <w:lvlJc w:val="right"/>
      <w:pPr>
        <w:ind w:left="6163" w:hanging="181"/>
      </w:pPr>
      <w:rPr>
        <w:rFonts w:hint="default"/>
      </w:rPr>
    </w:lvl>
    <w:lvl w:ilvl="6" w:tplc="20105C9A">
      <w:start w:val="1"/>
      <w:numFmt w:val="decimal"/>
      <w:lvlText w:val="%7."/>
      <w:lvlJc w:val="left"/>
      <w:pPr>
        <w:ind w:left="6883" w:hanging="362"/>
      </w:pPr>
      <w:rPr>
        <w:rFonts w:hint="default"/>
      </w:r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6" w15:restartNumberingAfterBreak="0">
    <w:nsid w:val="185E0111"/>
    <w:multiLevelType w:val="hybridMultilevel"/>
    <w:tmpl w:val="45A2C036"/>
    <w:lvl w:ilvl="0" w:tplc="A818341A">
      <w:start w:val="1"/>
      <w:numFmt w:val="bullet"/>
      <w:pStyle w:val="Annotation"/>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924D42"/>
    <w:multiLevelType w:val="singleLevel"/>
    <w:tmpl w:val="3F9EF09C"/>
    <w:lvl w:ilvl="0">
      <w:start w:val="1"/>
      <w:numFmt w:val="decimal"/>
      <w:pStyle w:val="Para"/>
      <w:lvlText w:val="%1."/>
      <w:lvlJc w:val="left"/>
      <w:pPr>
        <w:tabs>
          <w:tab w:val="num" w:pos="680"/>
        </w:tabs>
        <w:ind w:left="680" w:firstLine="0"/>
      </w:pPr>
      <w:rPr>
        <w:rFonts w:hint="default"/>
        <w:b w:val="0"/>
        <w:i w:val="0"/>
        <w:color w:val="auto"/>
        <w:sz w:val="22"/>
      </w:rPr>
    </w:lvl>
  </w:abstractNum>
  <w:abstractNum w:abstractNumId="8" w15:restartNumberingAfterBreak="0">
    <w:nsid w:val="18DD03A4"/>
    <w:multiLevelType w:val="hybridMultilevel"/>
    <w:tmpl w:val="B524B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9673425"/>
    <w:multiLevelType w:val="hybridMultilevel"/>
    <w:tmpl w:val="55AE4D64"/>
    <w:lvl w:ilvl="0" w:tplc="FFFFFFFF">
      <w:start w:val="1"/>
      <w:numFmt w:val="lowerLetter"/>
      <w:lvlText w:val="%1)"/>
      <w:lvlJc w:val="left"/>
      <w:pPr>
        <w:tabs>
          <w:tab w:val="num" w:pos="340"/>
        </w:tabs>
        <w:ind w:left="1361" w:hanging="340"/>
      </w:pPr>
      <w:rPr>
        <w:rFonts w:hint="default"/>
      </w:rPr>
    </w:lvl>
    <w:lvl w:ilvl="1" w:tplc="FFFFFFFF">
      <w:start w:val="1"/>
      <w:numFmt w:val="bullet"/>
      <w:lvlText w:val="o"/>
      <w:lvlJc w:val="left"/>
      <w:pPr>
        <w:tabs>
          <w:tab w:val="num" w:pos="340"/>
        </w:tabs>
        <w:ind w:left="1701" w:hanging="340"/>
      </w:pPr>
      <w:rPr>
        <w:rFonts w:ascii="Courier New" w:hAnsi="Courier New" w:hint="default"/>
      </w:rPr>
    </w:lvl>
    <w:lvl w:ilvl="2" w:tplc="FFFFFFFF">
      <w:start w:val="1"/>
      <w:numFmt w:val="bullet"/>
      <w:lvlText w:val="‒"/>
      <w:lvlJc w:val="left"/>
      <w:pPr>
        <w:tabs>
          <w:tab w:val="num" w:pos="340"/>
        </w:tabs>
        <w:ind w:left="2041" w:hanging="340"/>
      </w:pPr>
      <w:rPr>
        <w:rFonts w:ascii="Calibri" w:hAnsi="Calibri" w:hint="default"/>
      </w:rPr>
    </w:lvl>
    <w:lvl w:ilvl="3" w:tplc="FFFFFFFF">
      <w:start w:val="1"/>
      <w:numFmt w:val="bullet"/>
      <w:lvlText w:val="‒"/>
      <w:lvlJc w:val="left"/>
      <w:pPr>
        <w:tabs>
          <w:tab w:val="num" w:pos="340"/>
        </w:tabs>
        <w:ind w:left="2381" w:hanging="340"/>
      </w:pPr>
      <w:rPr>
        <w:rFonts w:ascii="Calibri" w:hAnsi="Calibri" w:hint="default"/>
      </w:rPr>
    </w:lvl>
    <w:lvl w:ilvl="4" w:tplc="FFFFFFFF">
      <w:start w:val="1"/>
      <w:numFmt w:val="bullet"/>
      <w:lvlText w:val="‒"/>
      <w:lvlJc w:val="left"/>
      <w:pPr>
        <w:tabs>
          <w:tab w:val="num" w:pos="340"/>
        </w:tabs>
        <w:ind w:left="2722" w:hanging="341"/>
      </w:pPr>
      <w:rPr>
        <w:rFonts w:ascii="Calibri" w:hAnsi="Calibri"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10" w15:restartNumberingAfterBreak="0">
    <w:nsid w:val="19A50CA2"/>
    <w:multiLevelType w:val="hybridMultilevel"/>
    <w:tmpl w:val="9C5283B0"/>
    <w:lvl w:ilvl="0" w:tplc="04090017">
      <w:start w:val="1"/>
      <w:numFmt w:val="lowerLetter"/>
      <w:lvlText w:val="%1)"/>
      <w:lvlJc w:val="left"/>
      <w:pPr>
        <w:tabs>
          <w:tab w:val="num" w:pos="340"/>
        </w:tabs>
        <w:ind w:left="1361" w:hanging="340"/>
      </w:pPr>
      <w:rPr>
        <w:rFonts w:hint="default"/>
      </w:rPr>
    </w:lvl>
    <w:lvl w:ilvl="1" w:tplc="FFFFFFFF">
      <w:start w:val="1"/>
      <w:numFmt w:val="bullet"/>
      <w:lvlText w:val="o"/>
      <w:lvlJc w:val="left"/>
      <w:pPr>
        <w:tabs>
          <w:tab w:val="num" w:pos="340"/>
        </w:tabs>
        <w:ind w:left="1701" w:hanging="340"/>
      </w:pPr>
      <w:rPr>
        <w:rFonts w:ascii="Courier New" w:hAnsi="Courier New" w:hint="default"/>
      </w:rPr>
    </w:lvl>
    <w:lvl w:ilvl="2" w:tplc="FFFFFFFF">
      <w:start w:val="1"/>
      <w:numFmt w:val="bullet"/>
      <w:lvlText w:val="‒"/>
      <w:lvlJc w:val="left"/>
      <w:pPr>
        <w:tabs>
          <w:tab w:val="num" w:pos="340"/>
        </w:tabs>
        <w:ind w:left="2041" w:hanging="340"/>
      </w:pPr>
      <w:rPr>
        <w:rFonts w:ascii="Calibri" w:hAnsi="Calibri" w:hint="default"/>
      </w:rPr>
    </w:lvl>
    <w:lvl w:ilvl="3" w:tplc="FFFFFFFF">
      <w:start w:val="1"/>
      <w:numFmt w:val="bullet"/>
      <w:lvlText w:val="‒"/>
      <w:lvlJc w:val="left"/>
      <w:pPr>
        <w:tabs>
          <w:tab w:val="num" w:pos="340"/>
        </w:tabs>
        <w:ind w:left="2381" w:hanging="340"/>
      </w:pPr>
      <w:rPr>
        <w:rFonts w:ascii="Calibri" w:hAnsi="Calibri" w:hint="default"/>
      </w:rPr>
    </w:lvl>
    <w:lvl w:ilvl="4" w:tplc="FFFFFFFF">
      <w:start w:val="1"/>
      <w:numFmt w:val="bullet"/>
      <w:lvlText w:val="‒"/>
      <w:lvlJc w:val="left"/>
      <w:pPr>
        <w:tabs>
          <w:tab w:val="num" w:pos="340"/>
        </w:tabs>
        <w:ind w:left="2722" w:hanging="341"/>
      </w:pPr>
      <w:rPr>
        <w:rFonts w:ascii="Calibri" w:hAnsi="Calibri"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11" w15:restartNumberingAfterBreak="0">
    <w:nsid w:val="1CD42877"/>
    <w:multiLevelType w:val="hybridMultilevel"/>
    <w:tmpl w:val="AB2C61DA"/>
    <w:lvl w:ilvl="0" w:tplc="04090017">
      <w:start w:val="1"/>
      <w:numFmt w:val="lowerLetter"/>
      <w:lvlText w:val="%1)"/>
      <w:lvlJc w:val="left"/>
      <w:pPr>
        <w:tabs>
          <w:tab w:val="num" w:pos="340"/>
        </w:tabs>
        <w:ind w:left="1361" w:hanging="340"/>
      </w:pPr>
      <w:rPr>
        <w:rFonts w:hint="default"/>
      </w:rPr>
    </w:lvl>
    <w:lvl w:ilvl="1" w:tplc="FFFFFFFF">
      <w:start w:val="1"/>
      <w:numFmt w:val="bullet"/>
      <w:lvlText w:val="o"/>
      <w:lvlJc w:val="left"/>
      <w:pPr>
        <w:tabs>
          <w:tab w:val="num" w:pos="340"/>
        </w:tabs>
        <w:ind w:left="1701" w:hanging="340"/>
      </w:pPr>
      <w:rPr>
        <w:rFonts w:ascii="Courier New" w:hAnsi="Courier New" w:hint="default"/>
      </w:rPr>
    </w:lvl>
    <w:lvl w:ilvl="2" w:tplc="FFFFFFFF">
      <w:start w:val="1"/>
      <w:numFmt w:val="bullet"/>
      <w:lvlText w:val="‒"/>
      <w:lvlJc w:val="left"/>
      <w:pPr>
        <w:tabs>
          <w:tab w:val="num" w:pos="340"/>
        </w:tabs>
        <w:ind w:left="2041" w:hanging="340"/>
      </w:pPr>
      <w:rPr>
        <w:rFonts w:ascii="Calibri" w:hAnsi="Calibri" w:hint="default"/>
      </w:rPr>
    </w:lvl>
    <w:lvl w:ilvl="3" w:tplc="FFFFFFFF">
      <w:start w:val="1"/>
      <w:numFmt w:val="bullet"/>
      <w:lvlText w:val="‒"/>
      <w:lvlJc w:val="left"/>
      <w:pPr>
        <w:tabs>
          <w:tab w:val="num" w:pos="340"/>
        </w:tabs>
        <w:ind w:left="2381" w:hanging="340"/>
      </w:pPr>
      <w:rPr>
        <w:rFonts w:ascii="Calibri" w:hAnsi="Calibri" w:hint="default"/>
      </w:rPr>
    </w:lvl>
    <w:lvl w:ilvl="4" w:tplc="FFFFFFFF">
      <w:start w:val="1"/>
      <w:numFmt w:val="bullet"/>
      <w:lvlText w:val="‒"/>
      <w:lvlJc w:val="left"/>
      <w:pPr>
        <w:tabs>
          <w:tab w:val="num" w:pos="340"/>
        </w:tabs>
        <w:ind w:left="2722" w:hanging="341"/>
      </w:pPr>
      <w:rPr>
        <w:rFonts w:ascii="Calibri" w:hAnsi="Calibri"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12" w15:restartNumberingAfterBreak="0">
    <w:nsid w:val="24FC1975"/>
    <w:multiLevelType w:val="hybridMultilevel"/>
    <w:tmpl w:val="0A1C45C2"/>
    <w:lvl w:ilvl="0" w:tplc="311A43F8">
      <w:start w:val="1"/>
      <w:numFmt w:val="decimal"/>
      <w:pStyle w:val="NumberedList"/>
      <w:lvlText w:val="%1."/>
      <w:lvlJc w:val="left"/>
      <w:pPr>
        <w:ind w:left="1361" w:hanging="340"/>
      </w:pPr>
      <w:rPr>
        <w:rFonts w:hint="default"/>
      </w:rPr>
    </w:lvl>
    <w:lvl w:ilvl="1" w:tplc="D08ACE40">
      <w:start w:val="1"/>
      <w:numFmt w:val="lowerLetter"/>
      <w:lvlText w:val="%2."/>
      <w:lvlJc w:val="left"/>
      <w:pPr>
        <w:tabs>
          <w:tab w:val="num" w:pos="340"/>
        </w:tabs>
        <w:ind w:left="1701" w:hanging="340"/>
      </w:pPr>
      <w:rPr>
        <w:rFonts w:hint="default"/>
      </w:rPr>
    </w:lvl>
    <w:lvl w:ilvl="2" w:tplc="5C104A16">
      <w:start w:val="1"/>
      <w:numFmt w:val="lowerRoman"/>
      <w:lvlText w:val="%3."/>
      <w:lvlJc w:val="right"/>
      <w:pPr>
        <w:ind w:left="2041" w:hanging="227"/>
      </w:pPr>
      <w:rPr>
        <w:rFonts w:hint="default"/>
      </w:rPr>
    </w:lvl>
    <w:lvl w:ilvl="3" w:tplc="1D6C3F34">
      <w:start w:val="1"/>
      <w:numFmt w:val="lowerLetter"/>
      <w:lvlText w:val="%4)"/>
      <w:lvlJc w:val="left"/>
      <w:pPr>
        <w:tabs>
          <w:tab w:val="num" w:pos="340"/>
        </w:tabs>
        <w:ind w:left="2381" w:hanging="340"/>
      </w:pPr>
      <w:rPr>
        <w:rFonts w:hint="default"/>
      </w:rPr>
    </w:lvl>
    <w:lvl w:ilvl="4" w:tplc="E28834E8">
      <w:start w:val="1"/>
      <w:numFmt w:val="decimal"/>
      <w:lvlText w:val="%5)"/>
      <w:lvlJc w:val="left"/>
      <w:pPr>
        <w:tabs>
          <w:tab w:val="num" w:pos="340"/>
        </w:tabs>
        <w:ind w:left="2722" w:hanging="341"/>
      </w:pPr>
      <w:rPr>
        <w:rFonts w:hint="default"/>
      </w:r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3" w15:restartNumberingAfterBreak="0">
    <w:nsid w:val="3226160A"/>
    <w:multiLevelType w:val="hybridMultilevel"/>
    <w:tmpl w:val="59C42716"/>
    <w:lvl w:ilvl="0" w:tplc="0409001B">
      <w:start w:val="1"/>
      <w:numFmt w:val="lowerRoman"/>
      <w:lvlText w:val="%1."/>
      <w:lvlJc w:val="right"/>
      <w:pPr>
        <w:tabs>
          <w:tab w:val="num" w:pos="340"/>
        </w:tabs>
        <w:ind w:left="1361" w:hanging="340"/>
      </w:pPr>
      <w:rPr>
        <w:rFonts w:hint="default"/>
      </w:rPr>
    </w:lvl>
    <w:lvl w:ilvl="1" w:tplc="FFFFFFFF">
      <w:start w:val="1"/>
      <w:numFmt w:val="bullet"/>
      <w:lvlText w:val="o"/>
      <w:lvlJc w:val="left"/>
      <w:pPr>
        <w:tabs>
          <w:tab w:val="num" w:pos="340"/>
        </w:tabs>
        <w:ind w:left="1701" w:hanging="340"/>
      </w:pPr>
      <w:rPr>
        <w:rFonts w:ascii="Courier New" w:hAnsi="Courier New" w:hint="default"/>
      </w:rPr>
    </w:lvl>
    <w:lvl w:ilvl="2" w:tplc="FFFFFFFF">
      <w:start w:val="1"/>
      <w:numFmt w:val="bullet"/>
      <w:lvlText w:val="‒"/>
      <w:lvlJc w:val="left"/>
      <w:pPr>
        <w:tabs>
          <w:tab w:val="num" w:pos="340"/>
        </w:tabs>
        <w:ind w:left="2041" w:hanging="340"/>
      </w:pPr>
      <w:rPr>
        <w:rFonts w:ascii="Calibri" w:hAnsi="Calibri" w:hint="default"/>
      </w:rPr>
    </w:lvl>
    <w:lvl w:ilvl="3" w:tplc="FFFFFFFF">
      <w:start w:val="1"/>
      <w:numFmt w:val="bullet"/>
      <w:lvlText w:val="‒"/>
      <w:lvlJc w:val="left"/>
      <w:pPr>
        <w:tabs>
          <w:tab w:val="num" w:pos="340"/>
        </w:tabs>
        <w:ind w:left="2381" w:hanging="340"/>
      </w:pPr>
      <w:rPr>
        <w:rFonts w:ascii="Calibri" w:hAnsi="Calibri" w:hint="default"/>
      </w:rPr>
    </w:lvl>
    <w:lvl w:ilvl="4" w:tplc="FFFFFFFF">
      <w:start w:val="1"/>
      <w:numFmt w:val="bullet"/>
      <w:lvlText w:val="‒"/>
      <w:lvlJc w:val="left"/>
      <w:pPr>
        <w:tabs>
          <w:tab w:val="num" w:pos="340"/>
        </w:tabs>
        <w:ind w:left="2722" w:hanging="341"/>
      </w:pPr>
      <w:rPr>
        <w:rFonts w:ascii="Calibri" w:hAnsi="Calibri"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14" w15:restartNumberingAfterBreak="0">
    <w:nsid w:val="33BB550B"/>
    <w:multiLevelType w:val="hybridMultilevel"/>
    <w:tmpl w:val="2378F564"/>
    <w:lvl w:ilvl="0" w:tplc="04090017">
      <w:start w:val="1"/>
      <w:numFmt w:val="lowerLetter"/>
      <w:lvlText w:val="%1)"/>
      <w:lvlJc w:val="left"/>
      <w:pPr>
        <w:tabs>
          <w:tab w:val="num" w:pos="340"/>
        </w:tabs>
        <w:ind w:left="1361" w:hanging="340"/>
      </w:pPr>
      <w:rPr>
        <w:rFonts w:hint="default"/>
      </w:rPr>
    </w:lvl>
    <w:lvl w:ilvl="1" w:tplc="FFFFFFFF">
      <w:start w:val="1"/>
      <w:numFmt w:val="bullet"/>
      <w:lvlText w:val="o"/>
      <w:lvlJc w:val="left"/>
      <w:pPr>
        <w:tabs>
          <w:tab w:val="num" w:pos="340"/>
        </w:tabs>
        <w:ind w:left="1701" w:hanging="340"/>
      </w:pPr>
      <w:rPr>
        <w:rFonts w:ascii="Courier New" w:hAnsi="Courier New" w:hint="default"/>
      </w:rPr>
    </w:lvl>
    <w:lvl w:ilvl="2" w:tplc="FFFFFFFF">
      <w:start w:val="1"/>
      <w:numFmt w:val="bullet"/>
      <w:lvlText w:val="‒"/>
      <w:lvlJc w:val="left"/>
      <w:pPr>
        <w:tabs>
          <w:tab w:val="num" w:pos="340"/>
        </w:tabs>
        <w:ind w:left="2041" w:hanging="340"/>
      </w:pPr>
      <w:rPr>
        <w:rFonts w:ascii="Calibri" w:hAnsi="Calibri" w:hint="default"/>
      </w:rPr>
    </w:lvl>
    <w:lvl w:ilvl="3" w:tplc="FFFFFFFF">
      <w:start w:val="1"/>
      <w:numFmt w:val="bullet"/>
      <w:lvlText w:val="‒"/>
      <w:lvlJc w:val="left"/>
      <w:pPr>
        <w:tabs>
          <w:tab w:val="num" w:pos="340"/>
        </w:tabs>
        <w:ind w:left="2381" w:hanging="340"/>
      </w:pPr>
      <w:rPr>
        <w:rFonts w:ascii="Calibri" w:hAnsi="Calibri" w:hint="default"/>
      </w:rPr>
    </w:lvl>
    <w:lvl w:ilvl="4" w:tplc="FFFFFFFF">
      <w:start w:val="1"/>
      <w:numFmt w:val="bullet"/>
      <w:lvlText w:val="‒"/>
      <w:lvlJc w:val="left"/>
      <w:pPr>
        <w:tabs>
          <w:tab w:val="num" w:pos="340"/>
        </w:tabs>
        <w:ind w:left="2722" w:hanging="341"/>
      </w:pPr>
      <w:rPr>
        <w:rFonts w:ascii="Calibri" w:hAnsi="Calibri"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15" w15:restartNumberingAfterBreak="0">
    <w:nsid w:val="39041121"/>
    <w:multiLevelType w:val="hybridMultilevel"/>
    <w:tmpl w:val="A538E496"/>
    <w:lvl w:ilvl="0" w:tplc="04090017">
      <w:start w:val="1"/>
      <w:numFmt w:val="lowerLetter"/>
      <w:lvlText w:val="%1)"/>
      <w:lvlJc w:val="left"/>
      <w:pPr>
        <w:tabs>
          <w:tab w:val="num" w:pos="340"/>
        </w:tabs>
        <w:ind w:left="1361" w:hanging="340"/>
      </w:pPr>
      <w:rPr>
        <w:rFonts w:hint="default"/>
      </w:rPr>
    </w:lvl>
    <w:lvl w:ilvl="1" w:tplc="FFFFFFFF">
      <w:start w:val="1"/>
      <w:numFmt w:val="bullet"/>
      <w:lvlText w:val="o"/>
      <w:lvlJc w:val="left"/>
      <w:pPr>
        <w:tabs>
          <w:tab w:val="num" w:pos="340"/>
        </w:tabs>
        <w:ind w:left="1701" w:hanging="340"/>
      </w:pPr>
      <w:rPr>
        <w:rFonts w:ascii="Courier New" w:hAnsi="Courier New" w:hint="default"/>
      </w:rPr>
    </w:lvl>
    <w:lvl w:ilvl="2" w:tplc="FFFFFFFF">
      <w:start w:val="1"/>
      <w:numFmt w:val="bullet"/>
      <w:lvlText w:val="‒"/>
      <w:lvlJc w:val="left"/>
      <w:pPr>
        <w:tabs>
          <w:tab w:val="num" w:pos="340"/>
        </w:tabs>
        <w:ind w:left="2041" w:hanging="340"/>
      </w:pPr>
      <w:rPr>
        <w:rFonts w:ascii="Calibri" w:hAnsi="Calibri" w:hint="default"/>
      </w:rPr>
    </w:lvl>
    <w:lvl w:ilvl="3" w:tplc="FFFFFFFF">
      <w:start w:val="1"/>
      <w:numFmt w:val="bullet"/>
      <w:lvlText w:val="‒"/>
      <w:lvlJc w:val="left"/>
      <w:pPr>
        <w:tabs>
          <w:tab w:val="num" w:pos="340"/>
        </w:tabs>
        <w:ind w:left="2381" w:hanging="340"/>
      </w:pPr>
      <w:rPr>
        <w:rFonts w:ascii="Calibri" w:hAnsi="Calibri" w:hint="default"/>
      </w:rPr>
    </w:lvl>
    <w:lvl w:ilvl="4" w:tplc="FFFFFFFF">
      <w:start w:val="1"/>
      <w:numFmt w:val="bullet"/>
      <w:lvlText w:val="‒"/>
      <w:lvlJc w:val="left"/>
      <w:pPr>
        <w:tabs>
          <w:tab w:val="num" w:pos="340"/>
        </w:tabs>
        <w:ind w:left="2722" w:hanging="341"/>
      </w:pPr>
      <w:rPr>
        <w:rFonts w:ascii="Calibri" w:hAnsi="Calibri"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16" w15:restartNumberingAfterBreak="0">
    <w:nsid w:val="408D2A51"/>
    <w:multiLevelType w:val="hybridMultilevel"/>
    <w:tmpl w:val="8DF8D546"/>
    <w:lvl w:ilvl="0" w:tplc="6CEACD90">
      <w:start w:val="1"/>
      <w:numFmt w:val="bullet"/>
      <w:pStyle w:val="GroupHeading"/>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AF5229"/>
    <w:multiLevelType w:val="hybridMultilevel"/>
    <w:tmpl w:val="AC7EFF1C"/>
    <w:lvl w:ilvl="0" w:tplc="FFFFFFFF">
      <w:start w:val="1"/>
      <w:numFmt w:val="lowerLetter"/>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4B47C5F"/>
    <w:multiLevelType w:val="hybridMultilevel"/>
    <w:tmpl w:val="55AE4D64"/>
    <w:lvl w:ilvl="0" w:tplc="FFFFFFFF">
      <w:start w:val="1"/>
      <w:numFmt w:val="lowerLetter"/>
      <w:lvlText w:val="%1)"/>
      <w:lvlJc w:val="left"/>
      <w:pPr>
        <w:tabs>
          <w:tab w:val="num" w:pos="340"/>
        </w:tabs>
        <w:ind w:left="1361" w:hanging="340"/>
      </w:pPr>
      <w:rPr>
        <w:rFonts w:hint="default"/>
      </w:rPr>
    </w:lvl>
    <w:lvl w:ilvl="1" w:tplc="FFFFFFFF">
      <w:start w:val="1"/>
      <w:numFmt w:val="bullet"/>
      <w:lvlText w:val="o"/>
      <w:lvlJc w:val="left"/>
      <w:pPr>
        <w:tabs>
          <w:tab w:val="num" w:pos="340"/>
        </w:tabs>
        <w:ind w:left="1701" w:hanging="340"/>
      </w:pPr>
      <w:rPr>
        <w:rFonts w:ascii="Courier New" w:hAnsi="Courier New" w:hint="default"/>
      </w:rPr>
    </w:lvl>
    <w:lvl w:ilvl="2" w:tplc="FFFFFFFF">
      <w:start w:val="1"/>
      <w:numFmt w:val="bullet"/>
      <w:lvlText w:val="‒"/>
      <w:lvlJc w:val="left"/>
      <w:pPr>
        <w:tabs>
          <w:tab w:val="num" w:pos="340"/>
        </w:tabs>
        <w:ind w:left="2041" w:hanging="340"/>
      </w:pPr>
      <w:rPr>
        <w:rFonts w:ascii="Calibri" w:hAnsi="Calibri" w:hint="default"/>
      </w:rPr>
    </w:lvl>
    <w:lvl w:ilvl="3" w:tplc="FFFFFFFF">
      <w:start w:val="1"/>
      <w:numFmt w:val="bullet"/>
      <w:lvlText w:val="‒"/>
      <w:lvlJc w:val="left"/>
      <w:pPr>
        <w:tabs>
          <w:tab w:val="num" w:pos="340"/>
        </w:tabs>
        <w:ind w:left="2381" w:hanging="340"/>
      </w:pPr>
      <w:rPr>
        <w:rFonts w:ascii="Calibri" w:hAnsi="Calibri" w:hint="default"/>
      </w:rPr>
    </w:lvl>
    <w:lvl w:ilvl="4" w:tplc="FFFFFFFF">
      <w:start w:val="1"/>
      <w:numFmt w:val="bullet"/>
      <w:lvlText w:val="‒"/>
      <w:lvlJc w:val="left"/>
      <w:pPr>
        <w:tabs>
          <w:tab w:val="num" w:pos="340"/>
        </w:tabs>
        <w:ind w:left="2722" w:hanging="341"/>
      </w:pPr>
      <w:rPr>
        <w:rFonts w:ascii="Calibri" w:hAnsi="Calibri"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19" w15:restartNumberingAfterBreak="0">
    <w:nsid w:val="4C220B75"/>
    <w:multiLevelType w:val="multilevel"/>
    <w:tmpl w:val="C43EFC5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680" w:firstLine="0"/>
      </w:pPr>
      <w:rPr>
        <w:rFonts w:hint="default"/>
      </w:rPr>
    </w:lvl>
    <w:lvl w:ilvl="3">
      <w:start w:val="1"/>
      <w:numFmt w:val="none"/>
      <w:pStyle w:val="Heading4"/>
      <w:suff w:val="nothing"/>
      <w:lvlText w:val=""/>
      <w:lvlJc w:val="left"/>
      <w:pPr>
        <w:ind w:left="680" w:firstLine="0"/>
      </w:pPr>
      <w:rPr>
        <w:rFonts w:hint="default"/>
      </w:rPr>
    </w:lvl>
    <w:lvl w:ilvl="4">
      <w:start w:val="1"/>
      <w:numFmt w:val="none"/>
      <w:pStyle w:val="Heading5"/>
      <w:suff w:val="nothing"/>
      <w:lvlText w:val=""/>
      <w:lvlJc w:val="left"/>
      <w:pPr>
        <w:ind w:left="680" w:firstLine="0"/>
      </w:pPr>
      <w:rPr>
        <w:rFonts w:hint="default"/>
      </w:rPr>
    </w:lvl>
    <w:lvl w:ilvl="5">
      <w:start w:val="1"/>
      <w:numFmt w:val="none"/>
      <w:pStyle w:val="Heading6"/>
      <w:suff w:val="nothing"/>
      <w:lvlText w:val=""/>
      <w:lvlJc w:val="left"/>
      <w:pPr>
        <w:ind w:left="680" w:firstLine="0"/>
      </w:pPr>
      <w:rPr>
        <w:rFonts w:hint="default"/>
      </w:rPr>
    </w:lvl>
    <w:lvl w:ilvl="6">
      <w:start w:val="1"/>
      <w:numFmt w:val="upperLetter"/>
      <w:lvlRestart w:val="0"/>
      <w:pStyle w:val="Heading7"/>
      <w:suff w:val="space"/>
      <w:lvlText w:val="Annex %7."/>
      <w:lvlJc w:val="center"/>
      <w:pPr>
        <w:ind w:left="0" w:firstLine="288"/>
      </w:pPr>
      <w:rPr>
        <w:rFonts w:hint="default"/>
      </w:rPr>
    </w:lvl>
    <w:lvl w:ilvl="7">
      <w:start w:val="1"/>
      <w:numFmt w:val="none"/>
      <w:pStyle w:val="Heading8"/>
      <w:suff w:val="nothing"/>
      <w:lvlText w:val=""/>
      <w:lvlJc w:val="left"/>
      <w:pPr>
        <w:ind w:left="680" w:firstLine="0"/>
      </w:pPr>
      <w:rPr>
        <w:rFonts w:hint="default"/>
      </w:rPr>
    </w:lvl>
    <w:lvl w:ilvl="8">
      <w:start w:val="1"/>
      <w:numFmt w:val="none"/>
      <w:pStyle w:val="Heading9"/>
      <w:suff w:val="nothing"/>
      <w:lvlText w:val=""/>
      <w:lvlJc w:val="left"/>
      <w:pPr>
        <w:ind w:left="680" w:firstLine="0"/>
      </w:pPr>
      <w:rPr>
        <w:rFonts w:hint="default"/>
      </w:rPr>
    </w:lvl>
  </w:abstractNum>
  <w:abstractNum w:abstractNumId="20" w15:restartNumberingAfterBreak="0">
    <w:nsid w:val="5176726A"/>
    <w:multiLevelType w:val="hybridMultilevel"/>
    <w:tmpl w:val="80140844"/>
    <w:lvl w:ilvl="0" w:tplc="4DD6949A">
      <w:start w:val="1"/>
      <w:numFmt w:val="bullet"/>
      <w:pStyle w:val="BulletedList"/>
      <w:lvlText w:val=""/>
      <w:lvlJc w:val="left"/>
      <w:pPr>
        <w:tabs>
          <w:tab w:val="num" w:pos="340"/>
        </w:tabs>
        <w:ind w:left="1361" w:hanging="340"/>
      </w:pPr>
      <w:rPr>
        <w:rFonts w:ascii="Symbol" w:hAnsi="Symbol" w:hint="default"/>
      </w:rPr>
    </w:lvl>
    <w:lvl w:ilvl="1" w:tplc="0254B86C">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15:restartNumberingAfterBreak="0">
    <w:nsid w:val="59880DCB"/>
    <w:multiLevelType w:val="hybridMultilevel"/>
    <w:tmpl w:val="756C09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4D17F6"/>
    <w:multiLevelType w:val="hybridMultilevel"/>
    <w:tmpl w:val="4876541E"/>
    <w:lvl w:ilvl="0" w:tplc="04090017">
      <w:start w:val="1"/>
      <w:numFmt w:val="lowerLetter"/>
      <w:lvlText w:val="%1)"/>
      <w:lvlJc w:val="left"/>
      <w:pPr>
        <w:tabs>
          <w:tab w:val="num" w:pos="340"/>
        </w:tabs>
        <w:ind w:left="1361" w:hanging="340"/>
      </w:pPr>
      <w:rPr>
        <w:rFonts w:hint="default"/>
      </w:rPr>
    </w:lvl>
    <w:lvl w:ilvl="1" w:tplc="FFFFFFFF">
      <w:start w:val="1"/>
      <w:numFmt w:val="bullet"/>
      <w:lvlText w:val="o"/>
      <w:lvlJc w:val="left"/>
      <w:pPr>
        <w:tabs>
          <w:tab w:val="num" w:pos="340"/>
        </w:tabs>
        <w:ind w:left="1701" w:hanging="340"/>
      </w:pPr>
      <w:rPr>
        <w:rFonts w:ascii="Courier New" w:hAnsi="Courier New" w:hint="default"/>
      </w:rPr>
    </w:lvl>
    <w:lvl w:ilvl="2" w:tplc="FFFFFFFF">
      <w:start w:val="1"/>
      <w:numFmt w:val="bullet"/>
      <w:lvlText w:val="‒"/>
      <w:lvlJc w:val="left"/>
      <w:pPr>
        <w:tabs>
          <w:tab w:val="num" w:pos="340"/>
        </w:tabs>
        <w:ind w:left="2041" w:hanging="340"/>
      </w:pPr>
      <w:rPr>
        <w:rFonts w:ascii="Calibri" w:hAnsi="Calibri" w:hint="default"/>
      </w:rPr>
    </w:lvl>
    <w:lvl w:ilvl="3" w:tplc="FFFFFFFF">
      <w:start w:val="1"/>
      <w:numFmt w:val="bullet"/>
      <w:lvlText w:val="‒"/>
      <w:lvlJc w:val="left"/>
      <w:pPr>
        <w:tabs>
          <w:tab w:val="num" w:pos="340"/>
        </w:tabs>
        <w:ind w:left="2381" w:hanging="340"/>
      </w:pPr>
      <w:rPr>
        <w:rFonts w:ascii="Calibri" w:hAnsi="Calibri" w:hint="default"/>
      </w:rPr>
    </w:lvl>
    <w:lvl w:ilvl="4" w:tplc="FFFFFFFF">
      <w:start w:val="1"/>
      <w:numFmt w:val="bullet"/>
      <w:lvlText w:val="‒"/>
      <w:lvlJc w:val="left"/>
      <w:pPr>
        <w:tabs>
          <w:tab w:val="num" w:pos="340"/>
        </w:tabs>
        <w:ind w:left="2722" w:hanging="341"/>
      </w:pPr>
      <w:rPr>
        <w:rFonts w:ascii="Calibri" w:hAnsi="Calibri"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23" w15:restartNumberingAfterBreak="0">
    <w:nsid w:val="61B81426"/>
    <w:multiLevelType w:val="hybridMultilevel"/>
    <w:tmpl w:val="4C060082"/>
    <w:lvl w:ilvl="0" w:tplc="04090017">
      <w:start w:val="1"/>
      <w:numFmt w:val="lowerLetter"/>
      <w:lvlText w:val="%1)"/>
      <w:lvlJc w:val="left"/>
      <w:pPr>
        <w:tabs>
          <w:tab w:val="num" w:pos="340"/>
        </w:tabs>
        <w:ind w:left="1361" w:hanging="340"/>
      </w:pPr>
      <w:rPr>
        <w:rFonts w:hint="default"/>
      </w:rPr>
    </w:lvl>
    <w:lvl w:ilvl="1" w:tplc="FFFFFFFF">
      <w:start w:val="1"/>
      <w:numFmt w:val="bullet"/>
      <w:lvlText w:val="o"/>
      <w:lvlJc w:val="left"/>
      <w:pPr>
        <w:tabs>
          <w:tab w:val="num" w:pos="340"/>
        </w:tabs>
        <w:ind w:left="1701" w:hanging="340"/>
      </w:pPr>
      <w:rPr>
        <w:rFonts w:ascii="Courier New" w:hAnsi="Courier New" w:hint="default"/>
      </w:rPr>
    </w:lvl>
    <w:lvl w:ilvl="2" w:tplc="FFFFFFFF">
      <w:start w:val="1"/>
      <w:numFmt w:val="bullet"/>
      <w:lvlText w:val="‒"/>
      <w:lvlJc w:val="left"/>
      <w:pPr>
        <w:tabs>
          <w:tab w:val="num" w:pos="340"/>
        </w:tabs>
        <w:ind w:left="2041" w:hanging="340"/>
      </w:pPr>
      <w:rPr>
        <w:rFonts w:ascii="Calibri" w:hAnsi="Calibri" w:hint="default"/>
      </w:rPr>
    </w:lvl>
    <w:lvl w:ilvl="3" w:tplc="FFFFFFFF">
      <w:start w:val="1"/>
      <w:numFmt w:val="bullet"/>
      <w:lvlText w:val="‒"/>
      <w:lvlJc w:val="left"/>
      <w:pPr>
        <w:tabs>
          <w:tab w:val="num" w:pos="340"/>
        </w:tabs>
        <w:ind w:left="2381" w:hanging="340"/>
      </w:pPr>
      <w:rPr>
        <w:rFonts w:ascii="Calibri" w:hAnsi="Calibri" w:hint="default"/>
      </w:rPr>
    </w:lvl>
    <w:lvl w:ilvl="4" w:tplc="FFFFFFFF">
      <w:start w:val="1"/>
      <w:numFmt w:val="bullet"/>
      <w:lvlText w:val="‒"/>
      <w:lvlJc w:val="left"/>
      <w:pPr>
        <w:tabs>
          <w:tab w:val="num" w:pos="340"/>
        </w:tabs>
        <w:ind w:left="2722" w:hanging="341"/>
      </w:pPr>
      <w:rPr>
        <w:rFonts w:ascii="Calibri" w:hAnsi="Calibri"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24" w15:restartNumberingAfterBreak="0">
    <w:nsid w:val="626E53BF"/>
    <w:multiLevelType w:val="hybridMultilevel"/>
    <w:tmpl w:val="19FC2336"/>
    <w:lvl w:ilvl="0" w:tplc="04090017">
      <w:start w:val="1"/>
      <w:numFmt w:val="lowerLetter"/>
      <w:lvlText w:val="%1)"/>
      <w:lvlJc w:val="left"/>
      <w:pPr>
        <w:tabs>
          <w:tab w:val="num" w:pos="340"/>
        </w:tabs>
        <w:ind w:left="1361" w:hanging="340"/>
      </w:pPr>
      <w:rPr>
        <w:rFonts w:hint="default"/>
      </w:rPr>
    </w:lvl>
    <w:lvl w:ilvl="1" w:tplc="FFFFFFFF">
      <w:start w:val="1"/>
      <w:numFmt w:val="bullet"/>
      <w:lvlText w:val="o"/>
      <w:lvlJc w:val="left"/>
      <w:pPr>
        <w:tabs>
          <w:tab w:val="num" w:pos="340"/>
        </w:tabs>
        <w:ind w:left="1701" w:hanging="340"/>
      </w:pPr>
      <w:rPr>
        <w:rFonts w:ascii="Courier New" w:hAnsi="Courier New" w:hint="default"/>
      </w:rPr>
    </w:lvl>
    <w:lvl w:ilvl="2" w:tplc="FFFFFFFF">
      <w:start w:val="1"/>
      <w:numFmt w:val="bullet"/>
      <w:lvlText w:val="‒"/>
      <w:lvlJc w:val="left"/>
      <w:pPr>
        <w:tabs>
          <w:tab w:val="num" w:pos="340"/>
        </w:tabs>
        <w:ind w:left="2041" w:hanging="340"/>
      </w:pPr>
      <w:rPr>
        <w:rFonts w:ascii="Calibri" w:hAnsi="Calibri" w:hint="default"/>
      </w:rPr>
    </w:lvl>
    <w:lvl w:ilvl="3" w:tplc="FFFFFFFF">
      <w:start w:val="1"/>
      <w:numFmt w:val="bullet"/>
      <w:lvlText w:val="‒"/>
      <w:lvlJc w:val="left"/>
      <w:pPr>
        <w:tabs>
          <w:tab w:val="num" w:pos="340"/>
        </w:tabs>
        <w:ind w:left="2381" w:hanging="340"/>
      </w:pPr>
      <w:rPr>
        <w:rFonts w:ascii="Calibri" w:hAnsi="Calibri" w:hint="default"/>
      </w:rPr>
    </w:lvl>
    <w:lvl w:ilvl="4" w:tplc="FFFFFFFF">
      <w:start w:val="1"/>
      <w:numFmt w:val="bullet"/>
      <w:lvlText w:val="‒"/>
      <w:lvlJc w:val="left"/>
      <w:pPr>
        <w:tabs>
          <w:tab w:val="num" w:pos="340"/>
        </w:tabs>
        <w:ind w:left="2722" w:hanging="341"/>
      </w:pPr>
      <w:rPr>
        <w:rFonts w:ascii="Calibri" w:hAnsi="Calibri"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25" w15:restartNumberingAfterBreak="0">
    <w:nsid w:val="664F4060"/>
    <w:multiLevelType w:val="hybridMultilevel"/>
    <w:tmpl w:val="CD8E651C"/>
    <w:lvl w:ilvl="0" w:tplc="FFFFFFFF">
      <w:start w:val="1"/>
      <w:numFmt w:val="bullet"/>
      <w:lvlText w:val=""/>
      <w:lvlJc w:val="left"/>
      <w:pPr>
        <w:tabs>
          <w:tab w:val="num" w:pos="340"/>
        </w:tabs>
        <w:ind w:left="1361" w:hanging="340"/>
      </w:pPr>
      <w:rPr>
        <w:rFonts w:ascii="Symbol" w:hAnsi="Symbol" w:hint="default"/>
      </w:rPr>
    </w:lvl>
    <w:lvl w:ilvl="1" w:tplc="FFFFFFFF">
      <w:start w:val="1"/>
      <w:numFmt w:val="lowerRoman"/>
      <w:lvlText w:val="%2"/>
      <w:lvlJc w:val="left"/>
      <w:pPr>
        <w:ind w:left="1353" w:hanging="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tabs>
          <w:tab w:val="num" w:pos="340"/>
        </w:tabs>
        <w:ind w:left="2041" w:hanging="340"/>
      </w:pPr>
      <w:rPr>
        <w:rFonts w:ascii="Calibri" w:hAnsi="Calibri" w:hint="default"/>
      </w:rPr>
    </w:lvl>
    <w:lvl w:ilvl="3" w:tplc="FFFFFFFF">
      <w:start w:val="1"/>
      <w:numFmt w:val="bullet"/>
      <w:lvlText w:val="‒"/>
      <w:lvlJc w:val="left"/>
      <w:pPr>
        <w:tabs>
          <w:tab w:val="num" w:pos="340"/>
        </w:tabs>
        <w:ind w:left="2381" w:hanging="340"/>
      </w:pPr>
      <w:rPr>
        <w:rFonts w:ascii="Calibri" w:hAnsi="Calibri" w:hint="default"/>
      </w:rPr>
    </w:lvl>
    <w:lvl w:ilvl="4" w:tplc="FFFFFFFF">
      <w:start w:val="1"/>
      <w:numFmt w:val="bullet"/>
      <w:lvlText w:val="‒"/>
      <w:lvlJc w:val="left"/>
      <w:pPr>
        <w:tabs>
          <w:tab w:val="num" w:pos="340"/>
        </w:tabs>
        <w:ind w:left="2722" w:hanging="341"/>
      </w:pPr>
      <w:rPr>
        <w:rFonts w:ascii="Calibri" w:hAnsi="Calibri"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26" w15:restartNumberingAfterBreak="0">
    <w:nsid w:val="77EF6704"/>
    <w:multiLevelType w:val="hybridMultilevel"/>
    <w:tmpl w:val="A82AE1EC"/>
    <w:lvl w:ilvl="0" w:tplc="0409001B">
      <w:start w:val="1"/>
      <w:numFmt w:val="lowerRoman"/>
      <w:lvlText w:val="%1."/>
      <w:lvlJc w:val="right"/>
      <w:pPr>
        <w:ind w:left="1400" w:hanging="360"/>
      </w:p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27" w15:restartNumberingAfterBreak="0">
    <w:nsid w:val="7C0104E6"/>
    <w:multiLevelType w:val="multilevel"/>
    <w:tmpl w:val="D6982892"/>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0" w:firstLine="0"/>
      </w:pPr>
      <w:rPr>
        <w:rFonts w:hint="default"/>
      </w:rPr>
    </w:lvl>
    <w:lvl w:ilvl="6">
      <w:start w:val="1"/>
      <w:numFmt w:val="upperLetter"/>
      <w:lvlRestart w:val="0"/>
      <w:suff w:val="space"/>
      <w:lvlText w:val="Annex %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826867790">
    <w:abstractNumId w:val="6"/>
  </w:num>
  <w:num w:numId="2" w16cid:durableId="117185720">
    <w:abstractNumId w:val="16"/>
  </w:num>
  <w:num w:numId="3" w16cid:durableId="786973265">
    <w:abstractNumId w:val="5"/>
  </w:num>
  <w:num w:numId="4" w16cid:durableId="1763259283">
    <w:abstractNumId w:val="19"/>
  </w:num>
  <w:num w:numId="5" w16cid:durableId="872037619">
    <w:abstractNumId w:val="20"/>
  </w:num>
  <w:num w:numId="6" w16cid:durableId="21206399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5200487">
    <w:abstractNumId w:val="9"/>
  </w:num>
  <w:num w:numId="8" w16cid:durableId="327440722">
    <w:abstractNumId w:val="26"/>
  </w:num>
  <w:num w:numId="9" w16cid:durableId="123087990">
    <w:abstractNumId w:val="0"/>
  </w:num>
  <w:num w:numId="10" w16cid:durableId="100151106">
    <w:abstractNumId w:val="4"/>
  </w:num>
  <w:num w:numId="11" w16cid:durableId="1118838816">
    <w:abstractNumId w:val="17"/>
  </w:num>
  <w:num w:numId="12" w16cid:durableId="1955944682">
    <w:abstractNumId w:val="13"/>
  </w:num>
  <w:num w:numId="13" w16cid:durableId="741558693">
    <w:abstractNumId w:val="18"/>
  </w:num>
  <w:num w:numId="14" w16cid:durableId="1945645794">
    <w:abstractNumId w:val="1"/>
  </w:num>
  <w:num w:numId="15" w16cid:durableId="1234002059">
    <w:abstractNumId w:val="14"/>
  </w:num>
  <w:num w:numId="16" w16cid:durableId="1457874636">
    <w:abstractNumId w:val="10"/>
  </w:num>
  <w:num w:numId="17" w16cid:durableId="132143307">
    <w:abstractNumId w:val="7"/>
  </w:num>
  <w:num w:numId="18" w16cid:durableId="1097870077">
    <w:abstractNumId w:val="20"/>
  </w:num>
  <w:num w:numId="19" w16cid:durableId="215898886">
    <w:abstractNumId w:val="3"/>
  </w:num>
  <w:num w:numId="20" w16cid:durableId="411851510">
    <w:abstractNumId w:val="20"/>
  </w:num>
  <w:num w:numId="21" w16cid:durableId="83575354">
    <w:abstractNumId w:val="7"/>
  </w:num>
  <w:num w:numId="22" w16cid:durableId="1650093388">
    <w:abstractNumId w:val="15"/>
  </w:num>
  <w:num w:numId="23" w16cid:durableId="1833401059">
    <w:abstractNumId w:val="22"/>
  </w:num>
  <w:num w:numId="24" w16cid:durableId="788430183">
    <w:abstractNumId w:val="7"/>
  </w:num>
  <w:num w:numId="25" w16cid:durableId="283998896">
    <w:abstractNumId w:val="24"/>
  </w:num>
  <w:num w:numId="26" w16cid:durableId="589124363">
    <w:abstractNumId w:val="23"/>
  </w:num>
  <w:num w:numId="27" w16cid:durableId="538012534">
    <w:abstractNumId w:val="27"/>
  </w:num>
  <w:num w:numId="28" w16cid:durableId="1813448717">
    <w:abstractNumId w:val="2"/>
  </w:num>
  <w:num w:numId="29" w16cid:durableId="144048906">
    <w:abstractNumId w:val="11"/>
  </w:num>
  <w:num w:numId="30" w16cid:durableId="416948672">
    <w:abstractNumId w:val="19"/>
  </w:num>
  <w:num w:numId="31" w16cid:durableId="1757357536">
    <w:abstractNumId w:val="7"/>
  </w:num>
  <w:num w:numId="32" w16cid:durableId="1317107657">
    <w:abstractNumId w:val="20"/>
  </w:num>
  <w:num w:numId="33" w16cid:durableId="597831764">
    <w:abstractNumId w:val="12"/>
  </w:num>
  <w:num w:numId="34" w16cid:durableId="551158703">
    <w:abstractNumId w:val="7"/>
    <w:lvlOverride w:ilvl="0">
      <w:startOverride w:val="1"/>
    </w:lvlOverride>
  </w:num>
  <w:num w:numId="35" w16cid:durableId="1773278497">
    <w:abstractNumId w:val="7"/>
    <w:lvlOverride w:ilvl="0">
      <w:startOverride w:val="1"/>
    </w:lvlOverride>
  </w:num>
  <w:num w:numId="36" w16cid:durableId="2088191685">
    <w:abstractNumId w:val="8"/>
  </w:num>
  <w:num w:numId="37" w16cid:durableId="2134588356">
    <w:abstractNumId w:val="20"/>
  </w:num>
  <w:num w:numId="38" w16cid:durableId="1524784746">
    <w:abstractNumId w:val="21"/>
  </w:num>
  <w:num w:numId="39" w16cid:durableId="1679580134">
    <w:abstractNumId w:val="7"/>
  </w:num>
  <w:num w:numId="40" w16cid:durableId="248198923">
    <w:abstractNumId w:val="7"/>
  </w:num>
  <w:num w:numId="41" w16cid:durableId="1144280047">
    <w:abstractNumId w:val="7"/>
  </w:num>
  <w:num w:numId="42" w16cid:durableId="344792207">
    <w:abstractNumId w:val="7"/>
  </w:num>
  <w:num w:numId="43" w16cid:durableId="1991404986">
    <w:abstractNumId w:val="7"/>
  </w:num>
  <w:num w:numId="44" w16cid:durableId="954603371">
    <w:abstractNumId w:val="20"/>
  </w:num>
  <w:num w:numId="45" w16cid:durableId="1214191934">
    <w:abstractNumId w:val="20"/>
  </w:num>
  <w:num w:numId="46" w16cid:durableId="1818301666">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SortMethod w:val="0000"/>
  <w:defaultTabStop w:val="720"/>
  <w:evenAndOddHeaders/>
  <w:characterSpacingControl w:val="doNotCompress"/>
  <w:hdrShapeDefaults>
    <o:shapedefaults v:ext="edit" spidmax="2050"/>
  </w:hdrShapeDefaults>
  <w:footnotePr>
    <w:numRestart w:val="eachSect"/>
    <w:footnote w:id="-1"/>
    <w:footnote w:id="0"/>
    <w:footnote w:id="1"/>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tInPropertywdPropertyAuthor" w:val="FATF Secretariat"/>
    <w:docVar w:name="BuiltInPropertywdPropertySubject" w:val=" "/>
    <w:docVar w:name="OECDDocumentClassification" w:val="For Official Use"/>
    <w:docVar w:name="OECDDocumentContactInfo" w:val="Inês OLIVEIRA, Tel: +(33-1) 85 55 47 95, Ines.OLIVEIRA@fatf-gafi.org_x000d_Ashish KUMAR, Tel.: +(33-1) 85 55 60 02, Ashish.KUMAR@fatf-gafi.org_x000d_Tom NEYLAN, Tel.: +(33-1) 45 24 98 53, Tom.NEYLAN@fatf-gafi.org"/>
    <w:docVar w:name="OECDDocumentCote" w:val="FATF/PDG(2023)22/REV1"/>
    <w:docVar w:name="OecdDocumentCoteLangHash" w:val="EF44C2070FD2B22C4302C16DCE9D939E1E3BCA9684A19F0212D8AACE1085078E"/>
    <w:docVar w:name="OECDDocumentDocumentAbstract" w:val="Issue: This paper contains the second draft of the FATF Risk-Based Guidance on Recommendation 25_x000d__x000d_Action: For discussion and approval for public consultation._x000d__x000d_FATF-XXXIII_x000d_The confidentiality of FATF documents, their protection, and their non-disclosure are crucial to the FATF being able to fulfil its mandate. FATF meetings – in line with the organisation’s mandate to combat money-laundering, terrorist financing, and the financing of proliferation of weapons of mass destruction and the consequent nature of its work and discussions – are private and confidential. The documents, discussions and correspondence relating to them, are shared with delegates in strict confidence, for use solely in accordance with the FATF mandate, and should be protected as such and not disclosed. By downloading the documents referenced in this document and participating in the discussions related to them, you agree to respect the confidentiality of the information shared and to take all appropriate measures to ensure the documents, discussions and correspondence are not disclosed to any third parties."/>
    <w:docVar w:name="OECDDocumentDocumentLanguage" w:val="English"/>
    <w:docVar w:name="OECDDocumentHasBeenSubmitted" w:val="False"/>
    <w:docVar w:name="OECDDocumentId" w:val="493CC7CEDE39B088BE69D115967F062B9D3F24325D2AB2EE3F9F956BF342FCAF"/>
    <w:docVar w:name="OECDDocumentJobTicket" w:val="JT03528259"/>
    <w:docVar w:name="OECDDocumentJobTicketHash" w:val="C0DC28443F22F16A1B084F694D8AF96411AEC3F1C41464986069CCCB940794E2"/>
    <w:docVar w:name="OECDDocumentOriginalLanguage" w:val="English"/>
    <w:docVar w:name="OECDDocumentSubmissionAuthor" w:val="GOUVEIA Sara"/>
    <w:docVar w:name="OECDDocumentValidationDate" w:val="10/06/2023 12:20:33"/>
    <w:docVar w:name="OECDDocumentValidationErrors" w:val="0"/>
    <w:docVar w:name="OECDDocumentValidationWarnings" w:val="0"/>
    <w:docVar w:name="OECDDocumentValidationWordCount" w:val="23390"/>
    <w:docVar w:name="OECDDocumentWorkingParty" w:val="Policy Development Group"/>
    <w:docVar w:name="OECDTemplateLocation" w:val="W:\Office2016\Workgroup Templates"/>
    <w:docVar w:name="OECDTemplateName" w:val="ONE Author ODPub.dotx"/>
    <w:docVar w:name="OECDTemplateVersion" w:val="3.24"/>
    <w:docVar w:name="OECDTemplateVersionOriginal" w:val="3.24"/>
  </w:docVars>
  <w:rsids>
    <w:rsidRoot w:val="00104561"/>
    <w:rsid w:val="00002AFE"/>
    <w:rsid w:val="000037D9"/>
    <w:rsid w:val="00004DAB"/>
    <w:rsid w:val="000064D6"/>
    <w:rsid w:val="00014FB0"/>
    <w:rsid w:val="00017230"/>
    <w:rsid w:val="00024178"/>
    <w:rsid w:val="00024E71"/>
    <w:rsid w:val="00027D14"/>
    <w:rsid w:val="0003022D"/>
    <w:rsid w:val="00030B2F"/>
    <w:rsid w:val="00030E8C"/>
    <w:rsid w:val="00031DDE"/>
    <w:rsid w:val="0003268E"/>
    <w:rsid w:val="00032F10"/>
    <w:rsid w:val="000338B2"/>
    <w:rsid w:val="00033E50"/>
    <w:rsid w:val="00034E11"/>
    <w:rsid w:val="00037607"/>
    <w:rsid w:val="0004402D"/>
    <w:rsid w:val="00044517"/>
    <w:rsid w:val="000454E8"/>
    <w:rsid w:val="00046FF9"/>
    <w:rsid w:val="00047216"/>
    <w:rsid w:val="000504F1"/>
    <w:rsid w:val="0005102C"/>
    <w:rsid w:val="00052575"/>
    <w:rsid w:val="00052588"/>
    <w:rsid w:val="000542B8"/>
    <w:rsid w:val="00054F09"/>
    <w:rsid w:val="00055124"/>
    <w:rsid w:val="00055536"/>
    <w:rsid w:val="00056C01"/>
    <w:rsid w:val="00064774"/>
    <w:rsid w:val="00064C7A"/>
    <w:rsid w:val="000729A2"/>
    <w:rsid w:val="00072ABB"/>
    <w:rsid w:val="0007759B"/>
    <w:rsid w:val="00085197"/>
    <w:rsid w:val="000908E6"/>
    <w:rsid w:val="00096E16"/>
    <w:rsid w:val="000A5133"/>
    <w:rsid w:val="000A655C"/>
    <w:rsid w:val="000A69AD"/>
    <w:rsid w:val="000A71F1"/>
    <w:rsid w:val="000B03E2"/>
    <w:rsid w:val="000B2B66"/>
    <w:rsid w:val="000B6B18"/>
    <w:rsid w:val="000B74AE"/>
    <w:rsid w:val="000B7665"/>
    <w:rsid w:val="000B7B86"/>
    <w:rsid w:val="000C0FE0"/>
    <w:rsid w:val="000C1AE7"/>
    <w:rsid w:val="000C1C9A"/>
    <w:rsid w:val="000C1DF4"/>
    <w:rsid w:val="000C4676"/>
    <w:rsid w:val="000C7E8E"/>
    <w:rsid w:val="000D34F9"/>
    <w:rsid w:val="000D4550"/>
    <w:rsid w:val="000E0DC7"/>
    <w:rsid w:val="000E2815"/>
    <w:rsid w:val="000E5194"/>
    <w:rsid w:val="000E5F57"/>
    <w:rsid w:val="000F040F"/>
    <w:rsid w:val="000F25C2"/>
    <w:rsid w:val="000F68AF"/>
    <w:rsid w:val="000F7B18"/>
    <w:rsid w:val="00100471"/>
    <w:rsid w:val="00101323"/>
    <w:rsid w:val="001020E2"/>
    <w:rsid w:val="00104561"/>
    <w:rsid w:val="001108B3"/>
    <w:rsid w:val="0011117D"/>
    <w:rsid w:val="00111592"/>
    <w:rsid w:val="00111A19"/>
    <w:rsid w:val="0011701E"/>
    <w:rsid w:val="001237FC"/>
    <w:rsid w:val="0012428D"/>
    <w:rsid w:val="00127B10"/>
    <w:rsid w:val="00127C02"/>
    <w:rsid w:val="00130B1E"/>
    <w:rsid w:val="001313D9"/>
    <w:rsid w:val="00132E78"/>
    <w:rsid w:val="00142D50"/>
    <w:rsid w:val="001443CF"/>
    <w:rsid w:val="00144852"/>
    <w:rsid w:val="00146063"/>
    <w:rsid w:val="0015065F"/>
    <w:rsid w:val="00151485"/>
    <w:rsid w:val="00151AE5"/>
    <w:rsid w:val="001535B9"/>
    <w:rsid w:val="00154123"/>
    <w:rsid w:val="001555EA"/>
    <w:rsid w:val="00157A58"/>
    <w:rsid w:val="00160B10"/>
    <w:rsid w:val="00160D78"/>
    <w:rsid w:val="00163F1A"/>
    <w:rsid w:val="00170C55"/>
    <w:rsid w:val="00173418"/>
    <w:rsid w:val="001740FF"/>
    <w:rsid w:val="001751B0"/>
    <w:rsid w:val="00177435"/>
    <w:rsid w:val="0018040C"/>
    <w:rsid w:val="00183469"/>
    <w:rsid w:val="00183CD6"/>
    <w:rsid w:val="00187BF1"/>
    <w:rsid w:val="00192BE9"/>
    <w:rsid w:val="001931F5"/>
    <w:rsid w:val="001933C5"/>
    <w:rsid w:val="001938E3"/>
    <w:rsid w:val="00194277"/>
    <w:rsid w:val="00194CF9"/>
    <w:rsid w:val="00196642"/>
    <w:rsid w:val="001A3BB8"/>
    <w:rsid w:val="001A7A2E"/>
    <w:rsid w:val="001B096C"/>
    <w:rsid w:val="001B2144"/>
    <w:rsid w:val="001B2FAD"/>
    <w:rsid w:val="001B4E01"/>
    <w:rsid w:val="001B7C25"/>
    <w:rsid w:val="001B7C71"/>
    <w:rsid w:val="001C0B13"/>
    <w:rsid w:val="001C1F73"/>
    <w:rsid w:val="001C4E4F"/>
    <w:rsid w:val="001C617B"/>
    <w:rsid w:val="001C62F4"/>
    <w:rsid w:val="001C7BF2"/>
    <w:rsid w:val="001D07E6"/>
    <w:rsid w:val="001D2BFF"/>
    <w:rsid w:val="001D3952"/>
    <w:rsid w:val="001D65AE"/>
    <w:rsid w:val="001D74A5"/>
    <w:rsid w:val="001E1F22"/>
    <w:rsid w:val="001E5980"/>
    <w:rsid w:val="001F11B3"/>
    <w:rsid w:val="001F12EB"/>
    <w:rsid w:val="001F18A8"/>
    <w:rsid w:val="001F290C"/>
    <w:rsid w:val="001F61E3"/>
    <w:rsid w:val="001F63FD"/>
    <w:rsid w:val="001F6920"/>
    <w:rsid w:val="001F7345"/>
    <w:rsid w:val="001F76B3"/>
    <w:rsid w:val="00201266"/>
    <w:rsid w:val="00202409"/>
    <w:rsid w:val="00203113"/>
    <w:rsid w:val="00203CC1"/>
    <w:rsid w:val="00204010"/>
    <w:rsid w:val="00204239"/>
    <w:rsid w:val="00210A5D"/>
    <w:rsid w:val="002131B5"/>
    <w:rsid w:val="00215044"/>
    <w:rsid w:val="002152FE"/>
    <w:rsid w:val="00222A48"/>
    <w:rsid w:val="00224AC3"/>
    <w:rsid w:val="0022556E"/>
    <w:rsid w:val="00226DC2"/>
    <w:rsid w:val="00237A1B"/>
    <w:rsid w:val="002405F0"/>
    <w:rsid w:val="00240A30"/>
    <w:rsid w:val="002452C8"/>
    <w:rsid w:val="002502B7"/>
    <w:rsid w:val="00251463"/>
    <w:rsid w:val="0025481A"/>
    <w:rsid w:val="002565E1"/>
    <w:rsid w:val="00262899"/>
    <w:rsid w:val="00263627"/>
    <w:rsid w:val="002672A3"/>
    <w:rsid w:val="002677BD"/>
    <w:rsid w:val="00271B13"/>
    <w:rsid w:val="00275477"/>
    <w:rsid w:val="00277570"/>
    <w:rsid w:val="0028073C"/>
    <w:rsid w:val="002818F4"/>
    <w:rsid w:val="00283F48"/>
    <w:rsid w:val="00287251"/>
    <w:rsid w:val="00287ED5"/>
    <w:rsid w:val="00294CF5"/>
    <w:rsid w:val="00296CE1"/>
    <w:rsid w:val="00297A07"/>
    <w:rsid w:val="002A2091"/>
    <w:rsid w:val="002A226D"/>
    <w:rsid w:val="002A6B56"/>
    <w:rsid w:val="002B353F"/>
    <w:rsid w:val="002B58E2"/>
    <w:rsid w:val="002B657E"/>
    <w:rsid w:val="002C0A92"/>
    <w:rsid w:val="002C0F6F"/>
    <w:rsid w:val="002C1DD6"/>
    <w:rsid w:val="002C37D7"/>
    <w:rsid w:val="002D19F7"/>
    <w:rsid w:val="002D39F0"/>
    <w:rsid w:val="002E0230"/>
    <w:rsid w:val="002E37B2"/>
    <w:rsid w:val="002E54C6"/>
    <w:rsid w:val="002E7AD9"/>
    <w:rsid w:val="002F2B30"/>
    <w:rsid w:val="002F3A06"/>
    <w:rsid w:val="002F503F"/>
    <w:rsid w:val="002F605B"/>
    <w:rsid w:val="002F7526"/>
    <w:rsid w:val="00303173"/>
    <w:rsid w:val="00305C43"/>
    <w:rsid w:val="00310601"/>
    <w:rsid w:val="00311DDC"/>
    <w:rsid w:val="00315278"/>
    <w:rsid w:val="00317325"/>
    <w:rsid w:val="00317F50"/>
    <w:rsid w:val="00323108"/>
    <w:rsid w:val="00324483"/>
    <w:rsid w:val="00325842"/>
    <w:rsid w:val="00326CAE"/>
    <w:rsid w:val="003276FA"/>
    <w:rsid w:val="00333261"/>
    <w:rsid w:val="003360B6"/>
    <w:rsid w:val="00337396"/>
    <w:rsid w:val="00337F25"/>
    <w:rsid w:val="00341936"/>
    <w:rsid w:val="00343742"/>
    <w:rsid w:val="0034492A"/>
    <w:rsid w:val="00345E0C"/>
    <w:rsid w:val="003468F9"/>
    <w:rsid w:val="00347AA2"/>
    <w:rsid w:val="00350662"/>
    <w:rsid w:val="00350963"/>
    <w:rsid w:val="003509CD"/>
    <w:rsid w:val="00350CCC"/>
    <w:rsid w:val="00351A76"/>
    <w:rsid w:val="00352264"/>
    <w:rsid w:val="0035293B"/>
    <w:rsid w:val="00353935"/>
    <w:rsid w:val="00356CC1"/>
    <w:rsid w:val="003570CA"/>
    <w:rsid w:val="003578FC"/>
    <w:rsid w:val="00357B9C"/>
    <w:rsid w:val="00360BE0"/>
    <w:rsid w:val="0036373D"/>
    <w:rsid w:val="00366BED"/>
    <w:rsid w:val="0037088C"/>
    <w:rsid w:val="00372918"/>
    <w:rsid w:val="00374EEF"/>
    <w:rsid w:val="00375A7C"/>
    <w:rsid w:val="00376570"/>
    <w:rsid w:val="00381AB2"/>
    <w:rsid w:val="003850B8"/>
    <w:rsid w:val="00386A6C"/>
    <w:rsid w:val="00386F03"/>
    <w:rsid w:val="003957E7"/>
    <w:rsid w:val="003A2A46"/>
    <w:rsid w:val="003A3A69"/>
    <w:rsid w:val="003A5696"/>
    <w:rsid w:val="003A6712"/>
    <w:rsid w:val="003A72FB"/>
    <w:rsid w:val="003B0FCE"/>
    <w:rsid w:val="003B2EF0"/>
    <w:rsid w:val="003B312C"/>
    <w:rsid w:val="003B42F8"/>
    <w:rsid w:val="003B78A2"/>
    <w:rsid w:val="003B7C66"/>
    <w:rsid w:val="003C2D78"/>
    <w:rsid w:val="003C4738"/>
    <w:rsid w:val="003C4CEB"/>
    <w:rsid w:val="003C6E42"/>
    <w:rsid w:val="003C7BEE"/>
    <w:rsid w:val="003D0071"/>
    <w:rsid w:val="003D0145"/>
    <w:rsid w:val="003D0D81"/>
    <w:rsid w:val="003D283F"/>
    <w:rsid w:val="003D32AD"/>
    <w:rsid w:val="003D5DC5"/>
    <w:rsid w:val="003D6298"/>
    <w:rsid w:val="003E0362"/>
    <w:rsid w:val="003E2486"/>
    <w:rsid w:val="003E2E5C"/>
    <w:rsid w:val="003E532B"/>
    <w:rsid w:val="003E5BE5"/>
    <w:rsid w:val="003E6393"/>
    <w:rsid w:val="003E7235"/>
    <w:rsid w:val="003E779E"/>
    <w:rsid w:val="003F194D"/>
    <w:rsid w:val="003F1A47"/>
    <w:rsid w:val="003F3341"/>
    <w:rsid w:val="003F3747"/>
    <w:rsid w:val="003F3E9F"/>
    <w:rsid w:val="004016BC"/>
    <w:rsid w:val="0040190E"/>
    <w:rsid w:val="00402592"/>
    <w:rsid w:val="004036CB"/>
    <w:rsid w:val="00403A1F"/>
    <w:rsid w:val="00404A52"/>
    <w:rsid w:val="004072AE"/>
    <w:rsid w:val="00407712"/>
    <w:rsid w:val="004120ED"/>
    <w:rsid w:val="004230BA"/>
    <w:rsid w:val="004234CE"/>
    <w:rsid w:val="004243B4"/>
    <w:rsid w:val="004259A6"/>
    <w:rsid w:val="00426192"/>
    <w:rsid w:val="00426C3E"/>
    <w:rsid w:val="004348F1"/>
    <w:rsid w:val="00440FA5"/>
    <w:rsid w:val="00442D8E"/>
    <w:rsid w:val="00444913"/>
    <w:rsid w:val="00444C08"/>
    <w:rsid w:val="00445380"/>
    <w:rsid w:val="0045007F"/>
    <w:rsid w:val="004506AC"/>
    <w:rsid w:val="00452355"/>
    <w:rsid w:val="004529B7"/>
    <w:rsid w:val="00452DA0"/>
    <w:rsid w:val="00456142"/>
    <w:rsid w:val="00456E03"/>
    <w:rsid w:val="0046073B"/>
    <w:rsid w:val="00461C3F"/>
    <w:rsid w:val="0046201C"/>
    <w:rsid w:val="004622CF"/>
    <w:rsid w:val="00462721"/>
    <w:rsid w:val="00464ED3"/>
    <w:rsid w:val="004654C9"/>
    <w:rsid w:val="004661B2"/>
    <w:rsid w:val="004716BD"/>
    <w:rsid w:val="00481E25"/>
    <w:rsid w:val="004905D2"/>
    <w:rsid w:val="004A00A8"/>
    <w:rsid w:val="004A117A"/>
    <w:rsid w:val="004A1316"/>
    <w:rsid w:val="004A1A3F"/>
    <w:rsid w:val="004A1A7B"/>
    <w:rsid w:val="004A1D74"/>
    <w:rsid w:val="004A54AD"/>
    <w:rsid w:val="004A5FDF"/>
    <w:rsid w:val="004A6F9B"/>
    <w:rsid w:val="004A7686"/>
    <w:rsid w:val="004B163D"/>
    <w:rsid w:val="004B3675"/>
    <w:rsid w:val="004B4B11"/>
    <w:rsid w:val="004B6593"/>
    <w:rsid w:val="004B7B10"/>
    <w:rsid w:val="004C102F"/>
    <w:rsid w:val="004C110E"/>
    <w:rsid w:val="004C5898"/>
    <w:rsid w:val="004C6224"/>
    <w:rsid w:val="004C6355"/>
    <w:rsid w:val="004D0D71"/>
    <w:rsid w:val="004D40F2"/>
    <w:rsid w:val="004D5046"/>
    <w:rsid w:val="004E045C"/>
    <w:rsid w:val="004E100F"/>
    <w:rsid w:val="004E4993"/>
    <w:rsid w:val="004E5C97"/>
    <w:rsid w:val="004E77B7"/>
    <w:rsid w:val="004F0449"/>
    <w:rsid w:val="004F1D9C"/>
    <w:rsid w:val="004F3626"/>
    <w:rsid w:val="004F470D"/>
    <w:rsid w:val="004F599F"/>
    <w:rsid w:val="004F644E"/>
    <w:rsid w:val="004F6BF2"/>
    <w:rsid w:val="004F6CB7"/>
    <w:rsid w:val="004F7D25"/>
    <w:rsid w:val="005011D9"/>
    <w:rsid w:val="00502163"/>
    <w:rsid w:val="00502342"/>
    <w:rsid w:val="00502DD2"/>
    <w:rsid w:val="005059C6"/>
    <w:rsid w:val="00510497"/>
    <w:rsid w:val="00510E93"/>
    <w:rsid w:val="00511263"/>
    <w:rsid w:val="005166A4"/>
    <w:rsid w:val="0051766F"/>
    <w:rsid w:val="00523806"/>
    <w:rsid w:val="00524708"/>
    <w:rsid w:val="00524825"/>
    <w:rsid w:val="0052749E"/>
    <w:rsid w:val="00532FB1"/>
    <w:rsid w:val="00533E92"/>
    <w:rsid w:val="00535F2B"/>
    <w:rsid w:val="005360A8"/>
    <w:rsid w:val="005361EC"/>
    <w:rsid w:val="005365BD"/>
    <w:rsid w:val="00540250"/>
    <w:rsid w:val="00542C38"/>
    <w:rsid w:val="00543135"/>
    <w:rsid w:val="00550877"/>
    <w:rsid w:val="0055228D"/>
    <w:rsid w:val="005527A6"/>
    <w:rsid w:val="00557DE7"/>
    <w:rsid w:val="00565AB9"/>
    <w:rsid w:val="0056606B"/>
    <w:rsid w:val="00566FC0"/>
    <w:rsid w:val="00567146"/>
    <w:rsid w:val="00575855"/>
    <w:rsid w:val="00576984"/>
    <w:rsid w:val="00576DA3"/>
    <w:rsid w:val="00580FD5"/>
    <w:rsid w:val="00581F2F"/>
    <w:rsid w:val="00582D40"/>
    <w:rsid w:val="005831C7"/>
    <w:rsid w:val="005862C1"/>
    <w:rsid w:val="00586B2F"/>
    <w:rsid w:val="00586BFD"/>
    <w:rsid w:val="005874E5"/>
    <w:rsid w:val="005934F0"/>
    <w:rsid w:val="00593D13"/>
    <w:rsid w:val="00597FDD"/>
    <w:rsid w:val="005A0A55"/>
    <w:rsid w:val="005A2126"/>
    <w:rsid w:val="005A28A4"/>
    <w:rsid w:val="005A41B4"/>
    <w:rsid w:val="005A44B7"/>
    <w:rsid w:val="005A4A42"/>
    <w:rsid w:val="005A6B81"/>
    <w:rsid w:val="005B4BF0"/>
    <w:rsid w:val="005B734D"/>
    <w:rsid w:val="005B7CA2"/>
    <w:rsid w:val="005C5935"/>
    <w:rsid w:val="005C63A2"/>
    <w:rsid w:val="005C739B"/>
    <w:rsid w:val="005D040B"/>
    <w:rsid w:val="005D25FC"/>
    <w:rsid w:val="005D357B"/>
    <w:rsid w:val="005D450E"/>
    <w:rsid w:val="005D5F8F"/>
    <w:rsid w:val="005D7D42"/>
    <w:rsid w:val="005E3782"/>
    <w:rsid w:val="005F307D"/>
    <w:rsid w:val="005F399C"/>
    <w:rsid w:val="00603681"/>
    <w:rsid w:val="0060705A"/>
    <w:rsid w:val="00612092"/>
    <w:rsid w:val="0061216A"/>
    <w:rsid w:val="006128C8"/>
    <w:rsid w:val="006146B0"/>
    <w:rsid w:val="006218BD"/>
    <w:rsid w:val="00622E0C"/>
    <w:rsid w:val="00625626"/>
    <w:rsid w:val="006261E2"/>
    <w:rsid w:val="00626D3E"/>
    <w:rsid w:val="006304BF"/>
    <w:rsid w:val="00635AEE"/>
    <w:rsid w:val="00640529"/>
    <w:rsid w:val="00641648"/>
    <w:rsid w:val="006442CB"/>
    <w:rsid w:val="00644510"/>
    <w:rsid w:val="00644677"/>
    <w:rsid w:val="00644FCE"/>
    <w:rsid w:val="00646952"/>
    <w:rsid w:val="00651C5F"/>
    <w:rsid w:val="00655A60"/>
    <w:rsid w:val="006645A4"/>
    <w:rsid w:val="0066793F"/>
    <w:rsid w:val="006713E5"/>
    <w:rsid w:val="006720B6"/>
    <w:rsid w:val="00680162"/>
    <w:rsid w:val="0068361F"/>
    <w:rsid w:val="006855C0"/>
    <w:rsid w:val="006A1139"/>
    <w:rsid w:val="006A1BBA"/>
    <w:rsid w:val="006A6100"/>
    <w:rsid w:val="006A7815"/>
    <w:rsid w:val="006B3701"/>
    <w:rsid w:val="006B38E2"/>
    <w:rsid w:val="006B4BAA"/>
    <w:rsid w:val="006B58DF"/>
    <w:rsid w:val="006B7345"/>
    <w:rsid w:val="006B7585"/>
    <w:rsid w:val="006B7A61"/>
    <w:rsid w:val="006C039F"/>
    <w:rsid w:val="006C35CC"/>
    <w:rsid w:val="006C4412"/>
    <w:rsid w:val="006C6CE7"/>
    <w:rsid w:val="006C7B61"/>
    <w:rsid w:val="006D1C15"/>
    <w:rsid w:val="006D2B23"/>
    <w:rsid w:val="006E0D6D"/>
    <w:rsid w:val="006E28AF"/>
    <w:rsid w:val="006E50BA"/>
    <w:rsid w:val="006E5AA5"/>
    <w:rsid w:val="006E7E55"/>
    <w:rsid w:val="006F0A20"/>
    <w:rsid w:val="006F2EE7"/>
    <w:rsid w:val="0070033F"/>
    <w:rsid w:val="00710E8C"/>
    <w:rsid w:val="0071117C"/>
    <w:rsid w:val="00711F1B"/>
    <w:rsid w:val="007121BB"/>
    <w:rsid w:val="00712B15"/>
    <w:rsid w:val="007135D0"/>
    <w:rsid w:val="00716006"/>
    <w:rsid w:val="00716D67"/>
    <w:rsid w:val="00722339"/>
    <w:rsid w:val="00724761"/>
    <w:rsid w:val="00724820"/>
    <w:rsid w:val="0072513F"/>
    <w:rsid w:val="007306FA"/>
    <w:rsid w:val="007323ED"/>
    <w:rsid w:val="00733ED1"/>
    <w:rsid w:val="00734135"/>
    <w:rsid w:val="00735C39"/>
    <w:rsid w:val="00736F99"/>
    <w:rsid w:val="007379BE"/>
    <w:rsid w:val="00742F95"/>
    <w:rsid w:val="00743058"/>
    <w:rsid w:val="00743381"/>
    <w:rsid w:val="00747D22"/>
    <w:rsid w:val="00753095"/>
    <w:rsid w:val="00753EEE"/>
    <w:rsid w:val="0075490D"/>
    <w:rsid w:val="00754C15"/>
    <w:rsid w:val="00755626"/>
    <w:rsid w:val="007558C5"/>
    <w:rsid w:val="00757027"/>
    <w:rsid w:val="007572E3"/>
    <w:rsid w:val="00757D43"/>
    <w:rsid w:val="00760DED"/>
    <w:rsid w:val="007622EA"/>
    <w:rsid w:val="00762B89"/>
    <w:rsid w:val="0076404F"/>
    <w:rsid w:val="007665CA"/>
    <w:rsid w:val="00766758"/>
    <w:rsid w:val="00767851"/>
    <w:rsid w:val="007712AC"/>
    <w:rsid w:val="00771361"/>
    <w:rsid w:val="007728EB"/>
    <w:rsid w:val="007746D6"/>
    <w:rsid w:val="0077792D"/>
    <w:rsid w:val="007823FE"/>
    <w:rsid w:val="007827E9"/>
    <w:rsid w:val="007836B4"/>
    <w:rsid w:val="00785802"/>
    <w:rsid w:val="00785A1E"/>
    <w:rsid w:val="0078670A"/>
    <w:rsid w:val="00796525"/>
    <w:rsid w:val="007A3427"/>
    <w:rsid w:val="007A5C4C"/>
    <w:rsid w:val="007A704D"/>
    <w:rsid w:val="007A76BA"/>
    <w:rsid w:val="007B1A88"/>
    <w:rsid w:val="007B2553"/>
    <w:rsid w:val="007B31F6"/>
    <w:rsid w:val="007B32B0"/>
    <w:rsid w:val="007B64FE"/>
    <w:rsid w:val="007C16B9"/>
    <w:rsid w:val="007C3714"/>
    <w:rsid w:val="007C489D"/>
    <w:rsid w:val="007C5CAD"/>
    <w:rsid w:val="007C6866"/>
    <w:rsid w:val="007D09AE"/>
    <w:rsid w:val="007D1E6D"/>
    <w:rsid w:val="007D21CF"/>
    <w:rsid w:val="007D7784"/>
    <w:rsid w:val="007F1949"/>
    <w:rsid w:val="007F41F9"/>
    <w:rsid w:val="007F712B"/>
    <w:rsid w:val="008005EB"/>
    <w:rsid w:val="00803F69"/>
    <w:rsid w:val="00804ACC"/>
    <w:rsid w:val="0080595B"/>
    <w:rsid w:val="008127CA"/>
    <w:rsid w:val="008129C4"/>
    <w:rsid w:val="00814FD3"/>
    <w:rsid w:val="00816695"/>
    <w:rsid w:val="00820362"/>
    <w:rsid w:val="00821370"/>
    <w:rsid w:val="008230ED"/>
    <w:rsid w:val="008232BC"/>
    <w:rsid w:val="00825BF9"/>
    <w:rsid w:val="00827FB5"/>
    <w:rsid w:val="00833FF5"/>
    <w:rsid w:val="00835614"/>
    <w:rsid w:val="008460B0"/>
    <w:rsid w:val="00846824"/>
    <w:rsid w:val="0085397E"/>
    <w:rsid w:val="008542C2"/>
    <w:rsid w:val="008553E4"/>
    <w:rsid w:val="008566CB"/>
    <w:rsid w:val="00857920"/>
    <w:rsid w:val="00864558"/>
    <w:rsid w:val="00866D5A"/>
    <w:rsid w:val="0086742E"/>
    <w:rsid w:val="00867C79"/>
    <w:rsid w:val="008728E0"/>
    <w:rsid w:val="00874547"/>
    <w:rsid w:val="00874E76"/>
    <w:rsid w:val="008757C6"/>
    <w:rsid w:val="00880E82"/>
    <w:rsid w:val="00881A3D"/>
    <w:rsid w:val="00882314"/>
    <w:rsid w:val="00882C60"/>
    <w:rsid w:val="00885103"/>
    <w:rsid w:val="00895D73"/>
    <w:rsid w:val="00896816"/>
    <w:rsid w:val="008A79C8"/>
    <w:rsid w:val="008A7A11"/>
    <w:rsid w:val="008B5E8B"/>
    <w:rsid w:val="008C2404"/>
    <w:rsid w:val="008C38B5"/>
    <w:rsid w:val="008C5973"/>
    <w:rsid w:val="008C5A1D"/>
    <w:rsid w:val="008C5BCB"/>
    <w:rsid w:val="008C7702"/>
    <w:rsid w:val="008E24AA"/>
    <w:rsid w:val="008E2C7C"/>
    <w:rsid w:val="008E2F6C"/>
    <w:rsid w:val="008E4044"/>
    <w:rsid w:val="008E7640"/>
    <w:rsid w:val="008F0F36"/>
    <w:rsid w:val="008F0F84"/>
    <w:rsid w:val="008F1437"/>
    <w:rsid w:val="008F4818"/>
    <w:rsid w:val="008F5BDD"/>
    <w:rsid w:val="008F632C"/>
    <w:rsid w:val="008F66D2"/>
    <w:rsid w:val="008F6F27"/>
    <w:rsid w:val="008F7A96"/>
    <w:rsid w:val="008F7B1F"/>
    <w:rsid w:val="00903551"/>
    <w:rsid w:val="0090449C"/>
    <w:rsid w:val="00904F11"/>
    <w:rsid w:val="00907763"/>
    <w:rsid w:val="00907CB4"/>
    <w:rsid w:val="00907E59"/>
    <w:rsid w:val="009106FA"/>
    <w:rsid w:val="009139C8"/>
    <w:rsid w:val="00916BDE"/>
    <w:rsid w:val="0092327D"/>
    <w:rsid w:val="009305C4"/>
    <w:rsid w:val="009321E4"/>
    <w:rsid w:val="0093281A"/>
    <w:rsid w:val="00934E5C"/>
    <w:rsid w:val="009410F8"/>
    <w:rsid w:val="00943271"/>
    <w:rsid w:val="00945A96"/>
    <w:rsid w:val="0094705D"/>
    <w:rsid w:val="00947930"/>
    <w:rsid w:val="0095490A"/>
    <w:rsid w:val="00961C60"/>
    <w:rsid w:val="0096394A"/>
    <w:rsid w:val="0096519D"/>
    <w:rsid w:val="00966935"/>
    <w:rsid w:val="00966A58"/>
    <w:rsid w:val="0096728F"/>
    <w:rsid w:val="0097116C"/>
    <w:rsid w:val="00971BB3"/>
    <w:rsid w:val="0097232E"/>
    <w:rsid w:val="00974D23"/>
    <w:rsid w:val="009811DE"/>
    <w:rsid w:val="00981543"/>
    <w:rsid w:val="00982C10"/>
    <w:rsid w:val="0098377F"/>
    <w:rsid w:val="0098467E"/>
    <w:rsid w:val="009877F0"/>
    <w:rsid w:val="00991A9A"/>
    <w:rsid w:val="0099203B"/>
    <w:rsid w:val="00992AB5"/>
    <w:rsid w:val="009A22AE"/>
    <w:rsid w:val="009A3363"/>
    <w:rsid w:val="009A4284"/>
    <w:rsid w:val="009B274B"/>
    <w:rsid w:val="009B36EC"/>
    <w:rsid w:val="009B3725"/>
    <w:rsid w:val="009B4679"/>
    <w:rsid w:val="009C167D"/>
    <w:rsid w:val="009C482D"/>
    <w:rsid w:val="009C4D19"/>
    <w:rsid w:val="009C532B"/>
    <w:rsid w:val="009C697D"/>
    <w:rsid w:val="009D0A30"/>
    <w:rsid w:val="009D0EC4"/>
    <w:rsid w:val="009D30C1"/>
    <w:rsid w:val="009D640E"/>
    <w:rsid w:val="009D6989"/>
    <w:rsid w:val="009E05F9"/>
    <w:rsid w:val="009E1A99"/>
    <w:rsid w:val="009E3337"/>
    <w:rsid w:val="009E46B6"/>
    <w:rsid w:val="009E7C04"/>
    <w:rsid w:val="009F0DC0"/>
    <w:rsid w:val="009F7287"/>
    <w:rsid w:val="00A00875"/>
    <w:rsid w:val="00A01981"/>
    <w:rsid w:val="00A0440B"/>
    <w:rsid w:val="00A07625"/>
    <w:rsid w:val="00A104FC"/>
    <w:rsid w:val="00A1253E"/>
    <w:rsid w:val="00A12B7B"/>
    <w:rsid w:val="00A1306E"/>
    <w:rsid w:val="00A13CF2"/>
    <w:rsid w:val="00A14DC4"/>
    <w:rsid w:val="00A150A6"/>
    <w:rsid w:val="00A1735A"/>
    <w:rsid w:val="00A20967"/>
    <w:rsid w:val="00A20C3A"/>
    <w:rsid w:val="00A21E27"/>
    <w:rsid w:val="00A24065"/>
    <w:rsid w:val="00A31051"/>
    <w:rsid w:val="00A32829"/>
    <w:rsid w:val="00A32CA3"/>
    <w:rsid w:val="00A33D14"/>
    <w:rsid w:val="00A37D0A"/>
    <w:rsid w:val="00A40263"/>
    <w:rsid w:val="00A4107D"/>
    <w:rsid w:val="00A42716"/>
    <w:rsid w:val="00A439EC"/>
    <w:rsid w:val="00A43F30"/>
    <w:rsid w:val="00A506C1"/>
    <w:rsid w:val="00A6041A"/>
    <w:rsid w:val="00A61DC4"/>
    <w:rsid w:val="00A631BE"/>
    <w:rsid w:val="00A63484"/>
    <w:rsid w:val="00A73BFF"/>
    <w:rsid w:val="00A74AFD"/>
    <w:rsid w:val="00A752EA"/>
    <w:rsid w:val="00A76883"/>
    <w:rsid w:val="00A8126B"/>
    <w:rsid w:val="00A81F07"/>
    <w:rsid w:val="00A85447"/>
    <w:rsid w:val="00A860F1"/>
    <w:rsid w:val="00A92F3D"/>
    <w:rsid w:val="00A93428"/>
    <w:rsid w:val="00A93EA9"/>
    <w:rsid w:val="00A95B06"/>
    <w:rsid w:val="00A961E9"/>
    <w:rsid w:val="00AA5521"/>
    <w:rsid w:val="00AA591D"/>
    <w:rsid w:val="00AA7673"/>
    <w:rsid w:val="00AA790F"/>
    <w:rsid w:val="00AB0F3D"/>
    <w:rsid w:val="00AB28E0"/>
    <w:rsid w:val="00AB34FF"/>
    <w:rsid w:val="00AB3C9C"/>
    <w:rsid w:val="00AB5A6F"/>
    <w:rsid w:val="00AC2CBD"/>
    <w:rsid w:val="00AC4AE2"/>
    <w:rsid w:val="00AC5E9B"/>
    <w:rsid w:val="00AC6451"/>
    <w:rsid w:val="00AC7314"/>
    <w:rsid w:val="00AC7B0C"/>
    <w:rsid w:val="00AD08D5"/>
    <w:rsid w:val="00AD0C3A"/>
    <w:rsid w:val="00AD15C4"/>
    <w:rsid w:val="00AD196B"/>
    <w:rsid w:val="00AD32A7"/>
    <w:rsid w:val="00AD373D"/>
    <w:rsid w:val="00AD6E5B"/>
    <w:rsid w:val="00AD7055"/>
    <w:rsid w:val="00AE48DF"/>
    <w:rsid w:val="00AE5FED"/>
    <w:rsid w:val="00AE7D12"/>
    <w:rsid w:val="00AF10C9"/>
    <w:rsid w:val="00AF27DA"/>
    <w:rsid w:val="00AF7B88"/>
    <w:rsid w:val="00B0250B"/>
    <w:rsid w:val="00B06D82"/>
    <w:rsid w:val="00B06E53"/>
    <w:rsid w:val="00B109FA"/>
    <w:rsid w:val="00B11E2C"/>
    <w:rsid w:val="00B12F75"/>
    <w:rsid w:val="00B15EBD"/>
    <w:rsid w:val="00B16E93"/>
    <w:rsid w:val="00B16EC8"/>
    <w:rsid w:val="00B2377F"/>
    <w:rsid w:val="00B32BBB"/>
    <w:rsid w:val="00B33F65"/>
    <w:rsid w:val="00B34036"/>
    <w:rsid w:val="00B35251"/>
    <w:rsid w:val="00B363EB"/>
    <w:rsid w:val="00B411FC"/>
    <w:rsid w:val="00B46C8D"/>
    <w:rsid w:val="00B477F8"/>
    <w:rsid w:val="00B50B88"/>
    <w:rsid w:val="00B54BAC"/>
    <w:rsid w:val="00B54D22"/>
    <w:rsid w:val="00B65B66"/>
    <w:rsid w:val="00B66B2E"/>
    <w:rsid w:val="00B66EBA"/>
    <w:rsid w:val="00B67859"/>
    <w:rsid w:val="00B720F6"/>
    <w:rsid w:val="00B72F62"/>
    <w:rsid w:val="00B7351B"/>
    <w:rsid w:val="00B768E0"/>
    <w:rsid w:val="00B76CC8"/>
    <w:rsid w:val="00B77452"/>
    <w:rsid w:val="00B80652"/>
    <w:rsid w:val="00B930A8"/>
    <w:rsid w:val="00B965E1"/>
    <w:rsid w:val="00BA01C3"/>
    <w:rsid w:val="00BA1ADD"/>
    <w:rsid w:val="00BA28FD"/>
    <w:rsid w:val="00BA6A0A"/>
    <w:rsid w:val="00BA6A56"/>
    <w:rsid w:val="00BB407A"/>
    <w:rsid w:val="00BC4617"/>
    <w:rsid w:val="00BD2CCD"/>
    <w:rsid w:val="00BD4114"/>
    <w:rsid w:val="00BD4F7D"/>
    <w:rsid w:val="00BD584D"/>
    <w:rsid w:val="00BD75D6"/>
    <w:rsid w:val="00BE0D0C"/>
    <w:rsid w:val="00BE268B"/>
    <w:rsid w:val="00BE3242"/>
    <w:rsid w:val="00BE40ED"/>
    <w:rsid w:val="00BE436B"/>
    <w:rsid w:val="00BE45D5"/>
    <w:rsid w:val="00BE4A09"/>
    <w:rsid w:val="00BF1697"/>
    <w:rsid w:val="00BF43B7"/>
    <w:rsid w:val="00BF53D8"/>
    <w:rsid w:val="00BF69F3"/>
    <w:rsid w:val="00BF773A"/>
    <w:rsid w:val="00C0190E"/>
    <w:rsid w:val="00C03067"/>
    <w:rsid w:val="00C14031"/>
    <w:rsid w:val="00C171C0"/>
    <w:rsid w:val="00C24704"/>
    <w:rsid w:val="00C26DD0"/>
    <w:rsid w:val="00C3172F"/>
    <w:rsid w:val="00C3513F"/>
    <w:rsid w:val="00C40110"/>
    <w:rsid w:val="00C43213"/>
    <w:rsid w:val="00C44C91"/>
    <w:rsid w:val="00C4544A"/>
    <w:rsid w:val="00C45E14"/>
    <w:rsid w:val="00C47B3E"/>
    <w:rsid w:val="00C5382F"/>
    <w:rsid w:val="00C544C4"/>
    <w:rsid w:val="00C549BA"/>
    <w:rsid w:val="00C578A4"/>
    <w:rsid w:val="00C604BC"/>
    <w:rsid w:val="00C611FD"/>
    <w:rsid w:val="00C6171E"/>
    <w:rsid w:val="00C62697"/>
    <w:rsid w:val="00C64CF8"/>
    <w:rsid w:val="00C6666B"/>
    <w:rsid w:val="00C67B05"/>
    <w:rsid w:val="00C710A7"/>
    <w:rsid w:val="00C71392"/>
    <w:rsid w:val="00C732F4"/>
    <w:rsid w:val="00C74D28"/>
    <w:rsid w:val="00C77599"/>
    <w:rsid w:val="00C81631"/>
    <w:rsid w:val="00C8176A"/>
    <w:rsid w:val="00C83CC5"/>
    <w:rsid w:val="00C9339D"/>
    <w:rsid w:val="00C93569"/>
    <w:rsid w:val="00C96170"/>
    <w:rsid w:val="00CA10B3"/>
    <w:rsid w:val="00CA1A65"/>
    <w:rsid w:val="00CA2765"/>
    <w:rsid w:val="00CA27CC"/>
    <w:rsid w:val="00CB325E"/>
    <w:rsid w:val="00CB4B68"/>
    <w:rsid w:val="00CB508D"/>
    <w:rsid w:val="00CB6B34"/>
    <w:rsid w:val="00CC0558"/>
    <w:rsid w:val="00CC1A99"/>
    <w:rsid w:val="00CC3749"/>
    <w:rsid w:val="00CC41F7"/>
    <w:rsid w:val="00CC694B"/>
    <w:rsid w:val="00CD5042"/>
    <w:rsid w:val="00CD58D3"/>
    <w:rsid w:val="00CD5BE1"/>
    <w:rsid w:val="00CD6172"/>
    <w:rsid w:val="00CD6A6F"/>
    <w:rsid w:val="00CD6F41"/>
    <w:rsid w:val="00CD7639"/>
    <w:rsid w:val="00CE2207"/>
    <w:rsid w:val="00CE347A"/>
    <w:rsid w:val="00CE4340"/>
    <w:rsid w:val="00CE4798"/>
    <w:rsid w:val="00CE6E7E"/>
    <w:rsid w:val="00CE7470"/>
    <w:rsid w:val="00CF2E48"/>
    <w:rsid w:val="00CF4424"/>
    <w:rsid w:val="00CF6762"/>
    <w:rsid w:val="00D02074"/>
    <w:rsid w:val="00D02302"/>
    <w:rsid w:val="00D02666"/>
    <w:rsid w:val="00D03CC5"/>
    <w:rsid w:val="00D047D4"/>
    <w:rsid w:val="00D048EC"/>
    <w:rsid w:val="00D05A24"/>
    <w:rsid w:val="00D1118E"/>
    <w:rsid w:val="00D11DBE"/>
    <w:rsid w:val="00D13AD1"/>
    <w:rsid w:val="00D15234"/>
    <w:rsid w:val="00D15C75"/>
    <w:rsid w:val="00D20610"/>
    <w:rsid w:val="00D20C3E"/>
    <w:rsid w:val="00D216F4"/>
    <w:rsid w:val="00D21923"/>
    <w:rsid w:val="00D21B35"/>
    <w:rsid w:val="00D2255F"/>
    <w:rsid w:val="00D22591"/>
    <w:rsid w:val="00D22EC8"/>
    <w:rsid w:val="00D22FC9"/>
    <w:rsid w:val="00D22FEC"/>
    <w:rsid w:val="00D27A8B"/>
    <w:rsid w:val="00D3033E"/>
    <w:rsid w:val="00D33BA3"/>
    <w:rsid w:val="00D34E37"/>
    <w:rsid w:val="00D359A5"/>
    <w:rsid w:val="00D3639D"/>
    <w:rsid w:val="00D3697A"/>
    <w:rsid w:val="00D43523"/>
    <w:rsid w:val="00D43B52"/>
    <w:rsid w:val="00D45551"/>
    <w:rsid w:val="00D4725C"/>
    <w:rsid w:val="00D47685"/>
    <w:rsid w:val="00D52504"/>
    <w:rsid w:val="00D5651D"/>
    <w:rsid w:val="00D61DDC"/>
    <w:rsid w:val="00D6626E"/>
    <w:rsid w:val="00D66850"/>
    <w:rsid w:val="00D73C3A"/>
    <w:rsid w:val="00D7473E"/>
    <w:rsid w:val="00D81E01"/>
    <w:rsid w:val="00D827E8"/>
    <w:rsid w:val="00D84C24"/>
    <w:rsid w:val="00D84FCB"/>
    <w:rsid w:val="00D854FA"/>
    <w:rsid w:val="00D87562"/>
    <w:rsid w:val="00D87D22"/>
    <w:rsid w:val="00D87E0B"/>
    <w:rsid w:val="00D919C2"/>
    <w:rsid w:val="00D942EC"/>
    <w:rsid w:val="00D95933"/>
    <w:rsid w:val="00D95FFD"/>
    <w:rsid w:val="00D96407"/>
    <w:rsid w:val="00D972AE"/>
    <w:rsid w:val="00DA12AF"/>
    <w:rsid w:val="00DA70B9"/>
    <w:rsid w:val="00DA79F8"/>
    <w:rsid w:val="00DB5EA7"/>
    <w:rsid w:val="00DB7564"/>
    <w:rsid w:val="00DB7D4D"/>
    <w:rsid w:val="00DC314E"/>
    <w:rsid w:val="00DC4A8C"/>
    <w:rsid w:val="00DC7E9E"/>
    <w:rsid w:val="00DD518A"/>
    <w:rsid w:val="00DD7DC1"/>
    <w:rsid w:val="00DE033E"/>
    <w:rsid w:val="00DE040A"/>
    <w:rsid w:val="00DE3D1B"/>
    <w:rsid w:val="00DE4D40"/>
    <w:rsid w:val="00DE7E79"/>
    <w:rsid w:val="00DF0230"/>
    <w:rsid w:val="00DF05B3"/>
    <w:rsid w:val="00DF1999"/>
    <w:rsid w:val="00DF1A57"/>
    <w:rsid w:val="00DF7D9F"/>
    <w:rsid w:val="00E00172"/>
    <w:rsid w:val="00E00E25"/>
    <w:rsid w:val="00E00ECB"/>
    <w:rsid w:val="00E02F2E"/>
    <w:rsid w:val="00E04A56"/>
    <w:rsid w:val="00E075A8"/>
    <w:rsid w:val="00E118B0"/>
    <w:rsid w:val="00E1286D"/>
    <w:rsid w:val="00E1304A"/>
    <w:rsid w:val="00E14045"/>
    <w:rsid w:val="00E14850"/>
    <w:rsid w:val="00E21FE1"/>
    <w:rsid w:val="00E25562"/>
    <w:rsid w:val="00E26629"/>
    <w:rsid w:val="00E27B14"/>
    <w:rsid w:val="00E35131"/>
    <w:rsid w:val="00E36D09"/>
    <w:rsid w:val="00E40456"/>
    <w:rsid w:val="00E41AB1"/>
    <w:rsid w:val="00E4492C"/>
    <w:rsid w:val="00E53877"/>
    <w:rsid w:val="00E61720"/>
    <w:rsid w:val="00E62BD0"/>
    <w:rsid w:val="00E62D2A"/>
    <w:rsid w:val="00E630F4"/>
    <w:rsid w:val="00E64AE6"/>
    <w:rsid w:val="00E6592E"/>
    <w:rsid w:val="00E67FB6"/>
    <w:rsid w:val="00E71E47"/>
    <w:rsid w:val="00E7474A"/>
    <w:rsid w:val="00E76A87"/>
    <w:rsid w:val="00E80356"/>
    <w:rsid w:val="00E80464"/>
    <w:rsid w:val="00E82D37"/>
    <w:rsid w:val="00E82D9D"/>
    <w:rsid w:val="00E83500"/>
    <w:rsid w:val="00E8367C"/>
    <w:rsid w:val="00E852E3"/>
    <w:rsid w:val="00E855C5"/>
    <w:rsid w:val="00E8719C"/>
    <w:rsid w:val="00E905E9"/>
    <w:rsid w:val="00E90680"/>
    <w:rsid w:val="00E926A1"/>
    <w:rsid w:val="00E92940"/>
    <w:rsid w:val="00E945F4"/>
    <w:rsid w:val="00E951AC"/>
    <w:rsid w:val="00EA3786"/>
    <w:rsid w:val="00EA3869"/>
    <w:rsid w:val="00EA3BDD"/>
    <w:rsid w:val="00EA45CC"/>
    <w:rsid w:val="00EA5767"/>
    <w:rsid w:val="00EA6A82"/>
    <w:rsid w:val="00EB1645"/>
    <w:rsid w:val="00EB24D5"/>
    <w:rsid w:val="00EB49E1"/>
    <w:rsid w:val="00EB6949"/>
    <w:rsid w:val="00EB69C8"/>
    <w:rsid w:val="00EC08A4"/>
    <w:rsid w:val="00EC36C6"/>
    <w:rsid w:val="00EC45EF"/>
    <w:rsid w:val="00EC61F0"/>
    <w:rsid w:val="00ED032A"/>
    <w:rsid w:val="00ED1FCF"/>
    <w:rsid w:val="00ED2C0A"/>
    <w:rsid w:val="00ED300D"/>
    <w:rsid w:val="00ED7AD3"/>
    <w:rsid w:val="00EE1D0B"/>
    <w:rsid w:val="00EE2E27"/>
    <w:rsid w:val="00EE51D6"/>
    <w:rsid w:val="00EE5B62"/>
    <w:rsid w:val="00EE63C7"/>
    <w:rsid w:val="00EE64E3"/>
    <w:rsid w:val="00EF0C02"/>
    <w:rsid w:val="00EF1102"/>
    <w:rsid w:val="00EF224F"/>
    <w:rsid w:val="00EF332B"/>
    <w:rsid w:val="00EF369F"/>
    <w:rsid w:val="00EF6B7C"/>
    <w:rsid w:val="00EF7077"/>
    <w:rsid w:val="00F02362"/>
    <w:rsid w:val="00F066DD"/>
    <w:rsid w:val="00F15B0A"/>
    <w:rsid w:val="00F15D20"/>
    <w:rsid w:val="00F16C6F"/>
    <w:rsid w:val="00F16E5B"/>
    <w:rsid w:val="00F1727F"/>
    <w:rsid w:val="00F20727"/>
    <w:rsid w:val="00F2231D"/>
    <w:rsid w:val="00F24F1E"/>
    <w:rsid w:val="00F25ADC"/>
    <w:rsid w:val="00F2798F"/>
    <w:rsid w:val="00F33C07"/>
    <w:rsid w:val="00F34274"/>
    <w:rsid w:val="00F40E07"/>
    <w:rsid w:val="00F41D85"/>
    <w:rsid w:val="00F4273D"/>
    <w:rsid w:val="00F443C5"/>
    <w:rsid w:val="00F478D4"/>
    <w:rsid w:val="00F47BCF"/>
    <w:rsid w:val="00F47D46"/>
    <w:rsid w:val="00F509A8"/>
    <w:rsid w:val="00F52463"/>
    <w:rsid w:val="00F53734"/>
    <w:rsid w:val="00F55B5E"/>
    <w:rsid w:val="00F6022E"/>
    <w:rsid w:val="00F602D9"/>
    <w:rsid w:val="00F66528"/>
    <w:rsid w:val="00F71B93"/>
    <w:rsid w:val="00F71E0B"/>
    <w:rsid w:val="00F733B8"/>
    <w:rsid w:val="00F76644"/>
    <w:rsid w:val="00F7680F"/>
    <w:rsid w:val="00F76C67"/>
    <w:rsid w:val="00F76FA7"/>
    <w:rsid w:val="00F82B3D"/>
    <w:rsid w:val="00F83B9F"/>
    <w:rsid w:val="00F84F5A"/>
    <w:rsid w:val="00F85065"/>
    <w:rsid w:val="00F86193"/>
    <w:rsid w:val="00F86BB6"/>
    <w:rsid w:val="00F9011F"/>
    <w:rsid w:val="00F901E1"/>
    <w:rsid w:val="00F90C20"/>
    <w:rsid w:val="00F92475"/>
    <w:rsid w:val="00F9296D"/>
    <w:rsid w:val="00F9308A"/>
    <w:rsid w:val="00F936EA"/>
    <w:rsid w:val="00F953D5"/>
    <w:rsid w:val="00F95E8C"/>
    <w:rsid w:val="00F9645A"/>
    <w:rsid w:val="00F96A0F"/>
    <w:rsid w:val="00FA38F9"/>
    <w:rsid w:val="00FA42CF"/>
    <w:rsid w:val="00FA4D10"/>
    <w:rsid w:val="00FA7E95"/>
    <w:rsid w:val="00FB0CE9"/>
    <w:rsid w:val="00FB3987"/>
    <w:rsid w:val="00FB5E31"/>
    <w:rsid w:val="00FB6DA4"/>
    <w:rsid w:val="00FB7576"/>
    <w:rsid w:val="00FC0D2F"/>
    <w:rsid w:val="00FC245C"/>
    <w:rsid w:val="00FC45FE"/>
    <w:rsid w:val="00FD55BA"/>
    <w:rsid w:val="00FD659A"/>
    <w:rsid w:val="00FD6C4D"/>
    <w:rsid w:val="00FD7BD8"/>
    <w:rsid w:val="00FE164A"/>
    <w:rsid w:val="00FE1D5D"/>
    <w:rsid w:val="00FE2E3A"/>
    <w:rsid w:val="00FE3FA2"/>
    <w:rsid w:val="00FE7DF7"/>
    <w:rsid w:val="00FF0E46"/>
    <w:rsid w:val="00FF2512"/>
    <w:rsid w:val="00FF25F6"/>
    <w:rsid w:val="00FF381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3EEDE"/>
  <w15:chartTrackingRefBased/>
  <w15:docId w15:val="{E5DEA74F-65AC-4B05-910E-0A2978DF3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GB" w:eastAsia="en-US"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1" w:qFormat="1"/>
    <w:lsdException w:name="heading 6" w:uiPriority="1" w:qFormat="1"/>
    <w:lsdException w:name="heading 7" w:uiPriority="12" w:qFormat="1"/>
    <w:lsdException w:name="heading 8" w:uiPriority="9"/>
    <w:lsdException w:name="heading 9" w:uiPriority="1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uiPriority="39"/>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1"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B34FF"/>
    <w:pPr>
      <w:widowControl w:val="0"/>
      <w:jc w:val="both"/>
    </w:pPr>
  </w:style>
  <w:style w:type="paragraph" w:styleId="Heading1">
    <w:name w:val="heading 1"/>
    <w:basedOn w:val="Normal"/>
    <w:next w:val="Para0"/>
    <w:link w:val="Heading1Char"/>
    <w:uiPriority w:val="1"/>
    <w:qFormat/>
    <w:rsid w:val="00BD75D6"/>
    <w:pPr>
      <w:keepNext/>
      <w:keepLines/>
      <w:widowControl/>
      <w:numPr>
        <w:numId w:val="30"/>
      </w:numPr>
      <w:tabs>
        <w:tab w:val="left" w:pos="850"/>
        <w:tab w:val="left" w:pos="1191"/>
        <w:tab w:val="left" w:pos="1531"/>
      </w:tabs>
      <w:spacing w:before="480" w:after="240"/>
      <w:jc w:val="left"/>
      <w:outlineLvl w:val="0"/>
    </w:pPr>
    <w:rPr>
      <w:rFonts w:cstheme="majorBidi"/>
      <w:b/>
      <w:bCs/>
      <w:color w:val="4E81BD"/>
      <w:kern w:val="28"/>
      <w:sz w:val="24"/>
      <w:szCs w:val="20"/>
    </w:rPr>
  </w:style>
  <w:style w:type="paragraph" w:styleId="Heading2">
    <w:name w:val="heading 2"/>
    <w:basedOn w:val="Normal"/>
    <w:next w:val="Para0"/>
    <w:link w:val="Heading2Char"/>
    <w:uiPriority w:val="1"/>
    <w:qFormat/>
    <w:rsid w:val="00BD75D6"/>
    <w:pPr>
      <w:keepNext/>
      <w:widowControl/>
      <w:numPr>
        <w:ilvl w:val="1"/>
        <w:numId w:val="30"/>
      </w:numPr>
      <w:tabs>
        <w:tab w:val="left" w:pos="850"/>
        <w:tab w:val="left" w:pos="1191"/>
        <w:tab w:val="left" w:pos="1531"/>
      </w:tabs>
      <w:spacing w:before="240" w:after="240"/>
      <w:ind w:right="680"/>
      <w:jc w:val="left"/>
      <w:outlineLvl w:val="1"/>
    </w:pPr>
    <w:rPr>
      <w:rFonts w:cstheme="majorBidi"/>
      <w:b/>
      <w:bCs/>
      <w:sz w:val="24"/>
    </w:rPr>
  </w:style>
  <w:style w:type="paragraph" w:styleId="Heading3">
    <w:name w:val="heading 3"/>
    <w:basedOn w:val="Normal"/>
    <w:next w:val="Para0"/>
    <w:link w:val="Heading3Char"/>
    <w:uiPriority w:val="1"/>
    <w:qFormat/>
    <w:rsid w:val="00BD75D6"/>
    <w:pPr>
      <w:keepNext/>
      <w:keepLines/>
      <w:widowControl/>
      <w:numPr>
        <w:ilvl w:val="2"/>
        <w:numId w:val="30"/>
      </w:numPr>
      <w:tabs>
        <w:tab w:val="left" w:pos="850"/>
        <w:tab w:val="left" w:pos="1191"/>
        <w:tab w:val="left" w:pos="1531"/>
      </w:tabs>
      <w:spacing w:before="240" w:after="120"/>
      <w:ind w:right="680"/>
      <w:jc w:val="left"/>
      <w:outlineLvl w:val="2"/>
    </w:pPr>
    <w:rPr>
      <w:rFonts w:cstheme="majorBidi"/>
      <w:b/>
      <w:bCs/>
      <w:i/>
      <w:iCs/>
      <w:color w:val="262626"/>
      <w:sz w:val="24"/>
    </w:rPr>
  </w:style>
  <w:style w:type="paragraph" w:styleId="Heading4">
    <w:name w:val="heading 4"/>
    <w:basedOn w:val="Normal"/>
    <w:next w:val="Para0"/>
    <w:link w:val="Heading4Char"/>
    <w:uiPriority w:val="1"/>
    <w:qFormat/>
    <w:rsid w:val="00BD75D6"/>
    <w:pPr>
      <w:keepNext/>
      <w:keepLines/>
      <w:widowControl/>
      <w:numPr>
        <w:ilvl w:val="3"/>
        <w:numId w:val="30"/>
      </w:numPr>
      <w:tabs>
        <w:tab w:val="left" w:pos="850"/>
        <w:tab w:val="left" w:pos="1191"/>
        <w:tab w:val="left" w:pos="1531"/>
      </w:tabs>
      <w:spacing w:before="240" w:after="120"/>
      <w:ind w:right="680"/>
      <w:jc w:val="left"/>
      <w:outlineLvl w:val="3"/>
    </w:pPr>
    <w:rPr>
      <w:rFonts w:cstheme="majorBidi"/>
      <w:i/>
      <w:iCs/>
      <w:color w:val="000000" w:themeColor="text1"/>
      <w:sz w:val="24"/>
    </w:rPr>
  </w:style>
  <w:style w:type="paragraph" w:styleId="Heading5">
    <w:name w:val="heading 5"/>
    <w:basedOn w:val="Normal"/>
    <w:next w:val="Para0"/>
    <w:link w:val="Heading5Char"/>
    <w:uiPriority w:val="1"/>
    <w:qFormat/>
    <w:rsid w:val="00BD75D6"/>
    <w:pPr>
      <w:keepNext/>
      <w:keepLines/>
      <w:widowControl/>
      <w:numPr>
        <w:ilvl w:val="4"/>
        <w:numId w:val="30"/>
      </w:numPr>
      <w:tabs>
        <w:tab w:val="left" w:pos="850"/>
        <w:tab w:val="left" w:pos="1191"/>
        <w:tab w:val="left" w:pos="1531"/>
      </w:tabs>
      <w:spacing w:before="240" w:after="120"/>
      <w:ind w:right="680"/>
      <w:jc w:val="left"/>
      <w:outlineLvl w:val="4"/>
    </w:pPr>
    <w:rPr>
      <w:rFonts w:cstheme="majorBidi"/>
      <w:color w:val="000000" w:themeColor="text1"/>
      <w:sz w:val="24"/>
    </w:rPr>
  </w:style>
  <w:style w:type="paragraph" w:styleId="Heading6">
    <w:name w:val="heading 6"/>
    <w:aliases w:val="Part"/>
    <w:basedOn w:val="Normal"/>
    <w:next w:val="Heading1"/>
    <w:link w:val="Heading6Char"/>
    <w:uiPriority w:val="1"/>
    <w:qFormat/>
    <w:rsid w:val="00BD75D6"/>
    <w:pPr>
      <w:keepNext/>
      <w:widowControl/>
      <w:numPr>
        <w:ilvl w:val="5"/>
        <w:numId w:val="30"/>
      </w:numPr>
      <w:tabs>
        <w:tab w:val="left" w:pos="850"/>
        <w:tab w:val="left" w:pos="1191"/>
        <w:tab w:val="left" w:pos="1531"/>
      </w:tabs>
      <w:spacing w:before="1200" w:after="720"/>
      <w:jc w:val="center"/>
      <w:outlineLvl w:val="5"/>
    </w:pPr>
    <w:rPr>
      <w:rFonts w:cstheme="majorBidi"/>
      <w:b/>
      <w:color w:val="4E81BD"/>
      <w:sz w:val="28"/>
    </w:rPr>
  </w:style>
  <w:style w:type="paragraph" w:styleId="Heading7">
    <w:name w:val="heading 7"/>
    <w:aliases w:val="Doc AnnX"/>
    <w:basedOn w:val="Normal"/>
    <w:next w:val="Para0"/>
    <w:link w:val="Heading7Char"/>
    <w:uiPriority w:val="12"/>
    <w:qFormat/>
    <w:rsid w:val="00BD75D6"/>
    <w:pPr>
      <w:keepNext/>
      <w:widowControl/>
      <w:numPr>
        <w:ilvl w:val="6"/>
        <w:numId w:val="30"/>
      </w:numPr>
      <w:tabs>
        <w:tab w:val="left" w:pos="850"/>
        <w:tab w:val="left" w:pos="1191"/>
        <w:tab w:val="left" w:pos="1531"/>
      </w:tabs>
      <w:spacing w:before="1200" w:after="720"/>
      <w:jc w:val="center"/>
      <w:outlineLvl w:val="6"/>
    </w:pPr>
    <w:rPr>
      <w:rFonts w:cstheme="majorBidi"/>
      <w:b/>
      <w:color w:val="4E81BD"/>
      <w:sz w:val="28"/>
    </w:rPr>
  </w:style>
  <w:style w:type="paragraph" w:styleId="Heading8">
    <w:name w:val="heading 8"/>
    <w:aliases w:val="Part AnnX"/>
    <w:next w:val="Para0"/>
    <w:link w:val="Heading8Char"/>
    <w:uiPriority w:val="9"/>
    <w:rsid w:val="00B06D82"/>
    <w:pPr>
      <w:keepNext/>
      <w:pageBreakBefore/>
      <w:numPr>
        <w:ilvl w:val="7"/>
        <w:numId w:val="30"/>
      </w:numPr>
      <w:spacing w:before="1200" w:after="720"/>
      <w:jc w:val="center"/>
      <w:outlineLvl w:val="7"/>
    </w:pPr>
    <w:rPr>
      <w:rFonts w:asciiTheme="majorHAnsi" w:eastAsiaTheme="majorEastAsia" w:hAnsiTheme="majorHAnsi" w:cstheme="majorBidi"/>
      <w:b/>
      <w:color w:val="4E81BD" w:themeColor="accent1"/>
      <w:sz w:val="28"/>
      <w:szCs w:val="21"/>
    </w:rPr>
  </w:style>
  <w:style w:type="paragraph" w:styleId="Heading9">
    <w:name w:val="heading 9"/>
    <w:aliases w:val="Chap AnnX"/>
    <w:basedOn w:val="Heading8"/>
    <w:next w:val="Para0"/>
    <w:link w:val="Heading9Char"/>
    <w:uiPriority w:val="14"/>
    <w:qFormat/>
    <w:rsid w:val="00BD75D6"/>
    <w:pPr>
      <w:numPr>
        <w:ilvl w:val="8"/>
      </w:numPr>
      <w:tabs>
        <w:tab w:val="left" w:pos="850"/>
        <w:tab w:val="left" w:pos="1191"/>
        <w:tab w:val="left" w:pos="1531"/>
      </w:tabs>
      <w:outlineLvl w:val="8"/>
    </w:pPr>
    <w:rPr>
      <w:rFonts w:ascii="Times New Roman" w:eastAsiaTheme="minorHAnsi" w:hAnsi="Times New Roman"/>
      <w:color w:val="4E81BD"/>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0">
    <w:name w:val="Para"/>
    <w:basedOn w:val="Normal"/>
    <w:link w:val="ParaChar"/>
    <w:uiPriority w:val="3"/>
    <w:qFormat/>
    <w:rsid w:val="00BD75D6"/>
    <w:pPr>
      <w:widowControl/>
      <w:spacing w:before="120" w:after="120"/>
      <w:ind w:left="680" w:right="680"/>
    </w:pPr>
    <w:rPr>
      <w:rFonts w:eastAsia="SimSun"/>
    </w:rPr>
  </w:style>
  <w:style w:type="paragraph" w:styleId="Title">
    <w:name w:val="Title"/>
    <w:basedOn w:val="Normal"/>
    <w:next w:val="Para0"/>
    <w:link w:val="TitleChar"/>
    <w:qFormat/>
    <w:rsid w:val="00BD75D6"/>
    <w:pPr>
      <w:keepNext/>
      <w:keepLines/>
      <w:widowControl/>
      <w:tabs>
        <w:tab w:val="left" w:pos="850"/>
        <w:tab w:val="left" w:pos="1191"/>
        <w:tab w:val="left" w:pos="1531"/>
      </w:tabs>
      <w:spacing w:before="1200" w:after="720"/>
      <w:ind w:left="680" w:right="680"/>
      <w:jc w:val="center"/>
      <w:outlineLvl w:val="0"/>
    </w:pPr>
    <w:rPr>
      <w:rFonts w:cs="Arial"/>
      <w:bCs/>
      <w:i/>
      <w:color w:val="4E81BD"/>
      <w:kern w:val="28"/>
      <w:sz w:val="32"/>
      <w:szCs w:val="32"/>
    </w:rPr>
  </w:style>
  <w:style w:type="character" w:customStyle="1" w:styleId="ParaChar">
    <w:name w:val="Para Char"/>
    <w:basedOn w:val="DefaultParagraphFont"/>
    <w:link w:val="Para0"/>
    <w:uiPriority w:val="3"/>
    <w:rsid w:val="00BD75D6"/>
    <w:rPr>
      <w:rFonts w:eastAsia="SimSun"/>
    </w:rPr>
  </w:style>
  <w:style w:type="character" w:customStyle="1" w:styleId="TitleChar">
    <w:name w:val="Title Char"/>
    <w:basedOn w:val="DefaultParagraphFont"/>
    <w:link w:val="Title"/>
    <w:rsid w:val="00BD75D6"/>
    <w:rPr>
      <w:rFonts w:cs="Arial"/>
      <w:bCs/>
      <w:i/>
      <w:color w:val="4E81BD"/>
      <w:kern w:val="28"/>
      <w:sz w:val="32"/>
      <w:szCs w:val="32"/>
    </w:rPr>
  </w:style>
  <w:style w:type="character" w:customStyle="1" w:styleId="Heading1Char">
    <w:name w:val="Heading 1 Char"/>
    <w:basedOn w:val="DefaultParagraphFont"/>
    <w:link w:val="Heading1"/>
    <w:uiPriority w:val="1"/>
    <w:rsid w:val="00BD75D6"/>
    <w:rPr>
      <w:rFonts w:cstheme="majorBidi"/>
      <w:b/>
      <w:bCs/>
      <w:color w:val="4E81BD"/>
      <w:kern w:val="28"/>
      <w:sz w:val="24"/>
      <w:szCs w:val="20"/>
    </w:rPr>
  </w:style>
  <w:style w:type="character" w:customStyle="1" w:styleId="Heading2Char">
    <w:name w:val="Heading 2 Char"/>
    <w:basedOn w:val="DefaultParagraphFont"/>
    <w:link w:val="Heading2"/>
    <w:uiPriority w:val="1"/>
    <w:rsid w:val="00BD75D6"/>
    <w:rPr>
      <w:rFonts w:cstheme="majorBidi"/>
      <w:b/>
      <w:bCs/>
      <w:sz w:val="24"/>
    </w:rPr>
  </w:style>
  <w:style w:type="character" w:customStyle="1" w:styleId="Heading3Char">
    <w:name w:val="Heading 3 Char"/>
    <w:basedOn w:val="DefaultParagraphFont"/>
    <w:link w:val="Heading3"/>
    <w:uiPriority w:val="1"/>
    <w:rsid w:val="00BD75D6"/>
    <w:rPr>
      <w:rFonts w:cstheme="majorBidi"/>
      <w:b/>
      <w:bCs/>
      <w:i/>
      <w:iCs/>
      <w:color w:val="262626"/>
      <w:sz w:val="24"/>
    </w:rPr>
  </w:style>
  <w:style w:type="character" w:customStyle="1" w:styleId="Heading4Char">
    <w:name w:val="Heading 4 Char"/>
    <w:basedOn w:val="DefaultParagraphFont"/>
    <w:link w:val="Heading4"/>
    <w:uiPriority w:val="1"/>
    <w:rsid w:val="00BD75D6"/>
    <w:rPr>
      <w:rFonts w:cstheme="majorBidi"/>
      <w:i/>
      <w:iCs/>
      <w:color w:val="000000" w:themeColor="text1"/>
      <w:sz w:val="24"/>
    </w:rPr>
  </w:style>
  <w:style w:type="character" w:customStyle="1" w:styleId="Heading5Char">
    <w:name w:val="Heading 5 Char"/>
    <w:basedOn w:val="DefaultParagraphFont"/>
    <w:link w:val="Heading5"/>
    <w:uiPriority w:val="1"/>
    <w:rsid w:val="00BD75D6"/>
    <w:rPr>
      <w:rFonts w:cstheme="majorBidi"/>
      <w:color w:val="000000" w:themeColor="text1"/>
      <w:sz w:val="24"/>
    </w:rPr>
  </w:style>
  <w:style w:type="character" w:customStyle="1" w:styleId="Heading6Char">
    <w:name w:val="Heading 6 Char"/>
    <w:aliases w:val="Part Char"/>
    <w:basedOn w:val="DefaultParagraphFont"/>
    <w:link w:val="Heading6"/>
    <w:uiPriority w:val="1"/>
    <w:rsid w:val="00BD75D6"/>
    <w:rPr>
      <w:rFonts w:cstheme="majorBidi"/>
      <w:b/>
      <w:color w:val="4E81BD"/>
      <w:sz w:val="28"/>
    </w:rPr>
  </w:style>
  <w:style w:type="character" w:customStyle="1" w:styleId="Heading7Char">
    <w:name w:val="Heading 7 Char"/>
    <w:aliases w:val="Doc AnnX Char"/>
    <w:basedOn w:val="DefaultParagraphFont"/>
    <w:link w:val="Heading7"/>
    <w:uiPriority w:val="12"/>
    <w:rsid w:val="00BD75D6"/>
    <w:rPr>
      <w:rFonts w:cstheme="majorBidi"/>
      <w:b/>
      <w:color w:val="4E81BD"/>
      <w:sz w:val="28"/>
    </w:rPr>
  </w:style>
  <w:style w:type="character" w:customStyle="1" w:styleId="Heading8Char">
    <w:name w:val="Heading 8 Char"/>
    <w:aliases w:val="Part AnnX Char"/>
    <w:basedOn w:val="DefaultParagraphFont"/>
    <w:link w:val="Heading8"/>
    <w:uiPriority w:val="9"/>
    <w:rsid w:val="00B06D82"/>
    <w:rPr>
      <w:rFonts w:asciiTheme="majorHAnsi" w:eastAsiaTheme="majorEastAsia" w:hAnsiTheme="majorHAnsi" w:cstheme="majorBidi"/>
      <w:b/>
      <w:color w:val="4E81BD" w:themeColor="accent1"/>
      <w:sz w:val="28"/>
      <w:szCs w:val="21"/>
    </w:rPr>
  </w:style>
  <w:style w:type="character" w:customStyle="1" w:styleId="Heading9Char">
    <w:name w:val="Heading 9 Char"/>
    <w:aliases w:val="Chap AnnX Char"/>
    <w:basedOn w:val="DefaultParagraphFont"/>
    <w:link w:val="Heading9"/>
    <w:uiPriority w:val="14"/>
    <w:rsid w:val="00BD75D6"/>
    <w:rPr>
      <w:rFonts w:cstheme="majorBidi"/>
      <w:b/>
      <w:color w:val="4E81BD"/>
      <w:sz w:val="28"/>
      <w:szCs w:val="20"/>
    </w:rPr>
  </w:style>
  <w:style w:type="paragraph" w:customStyle="1" w:styleId="Title2">
    <w:name w:val="Title 2"/>
    <w:basedOn w:val="Heading2"/>
    <w:next w:val="Para0"/>
    <w:qFormat/>
    <w:rsid w:val="00BD75D6"/>
    <w:pPr>
      <w:numPr>
        <w:ilvl w:val="0"/>
        <w:numId w:val="0"/>
      </w:numPr>
    </w:pPr>
    <w:rPr>
      <w:color w:val="4E81BD"/>
    </w:rPr>
  </w:style>
  <w:style w:type="paragraph" w:customStyle="1" w:styleId="Title3">
    <w:name w:val="Title 3"/>
    <w:basedOn w:val="Normal"/>
    <w:next w:val="Para0"/>
    <w:qFormat/>
    <w:rsid w:val="00BD75D6"/>
    <w:pPr>
      <w:keepNext/>
      <w:keepLines/>
      <w:widowControl/>
      <w:tabs>
        <w:tab w:val="left" w:pos="850"/>
        <w:tab w:val="left" w:pos="1191"/>
        <w:tab w:val="left" w:pos="1531"/>
      </w:tabs>
      <w:spacing w:before="240" w:after="120"/>
      <w:ind w:left="680" w:right="680"/>
      <w:jc w:val="left"/>
      <w:outlineLvl w:val="2"/>
    </w:pPr>
    <w:rPr>
      <w:rFonts w:cstheme="majorBidi"/>
      <w:b/>
      <w:i/>
      <w:sz w:val="24"/>
    </w:rPr>
  </w:style>
  <w:style w:type="paragraph" w:customStyle="1" w:styleId="Abstract">
    <w:name w:val="Abstract"/>
    <w:basedOn w:val="Para0"/>
    <w:uiPriority w:val="2"/>
    <w:qFormat/>
    <w:rsid w:val="00BD75D6"/>
    <w:pPr>
      <w:pBdr>
        <w:top w:val="single" w:sz="4" w:space="12" w:color="auto"/>
        <w:left w:val="single" w:sz="4" w:space="12" w:color="auto"/>
        <w:bottom w:val="single" w:sz="4" w:space="12" w:color="auto"/>
        <w:right w:val="single" w:sz="4" w:space="12" w:color="auto"/>
      </w:pBdr>
    </w:pPr>
    <w:rPr>
      <w:i/>
    </w:rPr>
  </w:style>
  <w:style w:type="paragraph" w:customStyle="1" w:styleId="Para">
    <w:name w:val="Para #"/>
    <w:basedOn w:val="Normal"/>
    <w:link w:val="ParaChar0"/>
    <w:uiPriority w:val="4"/>
    <w:qFormat/>
    <w:rsid w:val="00BD75D6"/>
    <w:pPr>
      <w:widowControl/>
      <w:numPr>
        <w:numId w:val="31"/>
      </w:numPr>
      <w:tabs>
        <w:tab w:val="left" w:pos="1361"/>
      </w:tabs>
      <w:spacing w:before="120" w:after="120"/>
      <w:ind w:right="680"/>
    </w:pPr>
    <w:rPr>
      <w:rFonts w:eastAsia="SimSun"/>
    </w:rPr>
  </w:style>
  <w:style w:type="paragraph" w:customStyle="1" w:styleId="NumberedList">
    <w:name w:val="Numbered List"/>
    <w:basedOn w:val="ListParagraph"/>
    <w:uiPriority w:val="5"/>
    <w:qFormat/>
    <w:rsid w:val="00BD75D6"/>
    <w:pPr>
      <w:widowControl/>
      <w:numPr>
        <w:numId w:val="33"/>
      </w:numPr>
      <w:spacing w:after="120"/>
      <w:ind w:right="680"/>
      <w:contextualSpacing w:val="0"/>
    </w:pPr>
    <w:rPr>
      <w:rFonts w:eastAsia="SimSun"/>
    </w:rPr>
  </w:style>
  <w:style w:type="paragraph" w:customStyle="1" w:styleId="BulletedList">
    <w:name w:val="Bulleted List"/>
    <w:basedOn w:val="ListParagraph"/>
    <w:uiPriority w:val="6"/>
    <w:qFormat/>
    <w:rsid w:val="00BD75D6"/>
    <w:pPr>
      <w:widowControl/>
      <w:numPr>
        <w:numId w:val="32"/>
      </w:numPr>
      <w:spacing w:after="120"/>
      <w:ind w:right="680"/>
      <w:contextualSpacing w:val="0"/>
    </w:pPr>
    <w:rPr>
      <w:rFonts w:eastAsia="SimSun"/>
    </w:rPr>
  </w:style>
  <w:style w:type="paragraph" w:styleId="ListParagraph">
    <w:name w:val="List Paragraph"/>
    <w:basedOn w:val="Normal"/>
    <w:uiPriority w:val="34"/>
    <w:qFormat/>
    <w:rsid w:val="004230BA"/>
    <w:pPr>
      <w:ind w:left="720"/>
      <w:contextualSpacing/>
    </w:pPr>
  </w:style>
  <w:style w:type="paragraph" w:customStyle="1" w:styleId="CaptionSubtitle">
    <w:name w:val="Caption Subtitle"/>
    <w:next w:val="Para0"/>
    <w:rsid w:val="008F0F84"/>
    <w:pPr>
      <w:keepNext/>
      <w:spacing w:after="180" w:line="260" w:lineRule="exact"/>
    </w:pPr>
    <w:rPr>
      <w:rFonts w:asciiTheme="majorHAnsi" w:hAnsiTheme="majorHAnsi"/>
      <w:color w:val="000000" w:themeColor="text1"/>
    </w:rPr>
  </w:style>
  <w:style w:type="paragraph" w:styleId="Caption">
    <w:name w:val="caption"/>
    <w:next w:val="CaptionSubtitle"/>
    <w:uiPriority w:val="35"/>
    <w:unhideWhenUsed/>
    <w:rsid w:val="00196642"/>
    <w:pPr>
      <w:keepNext/>
      <w:spacing w:before="360" w:after="180" w:line="280" w:lineRule="exact"/>
    </w:pPr>
    <w:rPr>
      <w:rFonts w:asciiTheme="majorHAnsi" w:hAnsiTheme="majorHAnsi"/>
      <w:b/>
      <w:iCs/>
      <w:color w:val="4E81BD" w:themeColor="accent1"/>
      <w:sz w:val="24"/>
      <w:szCs w:val="18"/>
    </w:rPr>
  </w:style>
  <w:style w:type="paragraph" w:customStyle="1" w:styleId="BoxHeading">
    <w:name w:val="Box Heading"/>
    <w:basedOn w:val="Normal"/>
    <w:next w:val="Para0"/>
    <w:uiPriority w:val="8"/>
    <w:qFormat/>
    <w:rsid w:val="00BD75D6"/>
    <w:pPr>
      <w:keepNext/>
      <w:widowControl/>
      <w:tabs>
        <w:tab w:val="left" w:pos="850"/>
        <w:tab w:val="left" w:pos="1191"/>
        <w:tab w:val="left" w:pos="1531"/>
      </w:tabs>
      <w:spacing w:before="240" w:after="120"/>
      <w:ind w:left="680" w:right="680"/>
      <w:jc w:val="left"/>
    </w:pPr>
    <w:rPr>
      <w:b/>
      <w:sz w:val="20"/>
    </w:rPr>
  </w:style>
  <w:style w:type="paragraph" w:customStyle="1" w:styleId="Sourcenotes">
    <w:name w:val="Source &amp; notes"/>
    <w:basedOn w:val="Normal"/>
    <w:uiPriority w:val="9"/>
    <w:qFormat/>
    <w:rsid w:val="00BD75D6"/>
    <w:pPr>
      <w:keepLines/>
      <w:widowControl/>
      <w:spacing w:before="120" w:after="240"/>
      <w:ind w:left="680" w:right="680"/>
      <w:contextualSpacing/>
    </w:pPr>
    <w:rPr>
      <w:rFonts w:eastAsia="SimSun" w:cs="Arial"/>
      <w:sz w:val="18"/>
      <w:szCs w:val="18"/>
    </w:rPr>
  </w:style>
  <w:style w:type="paragraph" w:customStyle="1" w:styleId="TableCell">
    <w:name w:val="Table Cell"/>
    <w:basedOn w:val="Normal"/>
    <w:uiPriority w:val="10"/>
    <w:qFormat/>
    <w:rsid w:val="00BD75D6"/>
    <w:pPr>
      <w:keepNext/>
      <w:keepLines/>
      <w:widowControl/>
      <w:tabs>
        <w:tab w:val="left" w:pos="340"/>
        <w:tab w:val="left" w:pos="680"/>
      </w:tabs>
      <w:spacing w:before="20" w:after="20"/>
      <w:jc w:val="right"/>
    </w:pPr>
    <w:rPr>
      <w:rFonts w:ascii="Arial Narrow" w:eastAsia="SimSun" w:hAnsi="Arial Narrow" w:cs="Arial"/>
      <w:sz w:val="17"/>
      <w:szCs w:val="18"/>
    </w:rPr>
  </w:style>
  <w:style w:type="paragraph" w:customStyle="1" w:styleId="TableRow">
    <w:name w:val="Table Row"/>
    <w:basedOn w:val="TableCell"/>
    <w:uiPriority w:val="10"/>
    <w:qFormat/>
    <w:rsid w:val="00BD75D6"/>
    <w:pPr>
      <w:jc w:val="left"/>
    </w:pPr>
  </w:style>
  <w:style w:type="paragraph" w:customStyle="1" w:styleId="TableColumn">
    <w:name w:val="Table Column"/>
    <w:basedOn w:val="TableRow"/>
    <w:uiPriority w:val="10"/>
    <w:qFormat/>
    <w:rsid w:val="00BD75D6"/>
    <w:pPr>
      <w:jc w:val="center"/>
    </w:pPr>
  </w:style>
  <w:style w:type="paragraph" w:customStyle="1" w:styleId="Quotationshort">
    <w:name w:val="Quotation (short)"/>
    <w:basedOn w:val="Normal"/>
    <w:link w:val="QuotationshortChar"/>
    <w:uiPriority w:val="11"/>
    <w:qFormat/>
    <w:rsid w:val="00BD75D6"/>
    <w:pPr>
      <w:widowControl/>
      <w:spacing w:after="120"/>
    </w:pPr>
    <w:rPr>
      <w:rFonts w:eastAsia="SimSun"/>
      <w:i/>
    </w:rPr>
  </w:style>
  <w:style w:type="paragraph" w:styleId="Quote">
    <w:name w:val="Quote"/>
    <w:aliases w:val="Quotation (long)"/>
    <w:basedOn w:val="Normal"/>
    <w:link w:val="QuoteChar"/>
    <w:uiPriority w:val="11"/>
    <w:qFormat/>
    <w:rsid w:val="00BD75D6"/>
    <w:pPr>
      <w:widowControl/>
      <w:spacing w:after="120"/>
      <w:ind w:left="1021" w:right="1021"/>
    </w:pPr>
    <w:rPr>
      <w:rFonts w:eastAsia="SimSun"/>
      <w:i/>
      <w:iCs/>
      <w:color w:val="404040"/>
    </w:rPr>
  </w:style>
  <w:style w:type="character" w:customStyle="1" w:styleId="QuoteChar">
    <w:name w:val="Quote Char"/>
    <w:aliases w:val="Quotation (long) Char"/>
    <w:basedOn w:val="DefaultParagraphFont"/>
    <w:link w:val="Quote"/>
    <w:uiPriority w:val="11"/>
    <w:rsid w:val="00BD75D6"/>
    <w:rPr>
      <w:rFonts w:eastAsia="SimSun"/>
      <w:i/>
      <w:iCs/>
      <w:color w:val="404040"/>
    </w:rPr>
  </w:style>
  <w:style w:type="paragraph" w:customStyle="1" w:styleId="AnnexH2">
    <w:name w:val="Annex H2"/>
    <w:basedOn w:val="Normal"/>
    <w:next w:val="Para0"/>
    <w:uiPriority w:val="15"/>
    <w:qFormat/>
    <w:rsid w:val="00BD75D6"/>
    <w:pPr>
      <w:keepNext/>
      <w:widowControl/>
      <w:tabs>
        <w:tab w:val="left" w:pos="850"/>
        <w:tab w:val="left" w:pos="1191"/>
        <w:tab w:val="left" w:pos="1531"/>
      </w:tabs>
      <w:spacing w:before="240" w:after="240"/>
      <w:ind w:right="680"/>
      <w:jc w:val="left"/>
      <w:outlineLvl w:val="1"/>
    </w:pPr>
    <w:rPr>
      <w:b/>
      <w:color w:val="4E81BD"/>
      <w:sz w:val="24"/>
    </w:rPr>
  </w:style>
  <w:style w:type="paragraph" w:customStyle="1" w:styleId="AnnexH3">
    <w:name w:val="Annex H3"/>
    <w:basedOn w:val="Normal"/>
    <w:next w:val="Para0"/>
    <w:uiPriority w:val="15"/>
    <w:qFormat/>
    <w:rsid w:val="00BD75D6"/>
    <w:pPr>
      <w:keepNext/>
      <w:keepLines/>
      <w:widowControl/>
      <w:tabs>
        <w:tab w:val="left" w:pos="850"/>
        <w:tab w:val="left" w:pos="1191"/>
        <w:tab w:val="left" w:pos="1531"/>
      </w:tabs>
      <w:spacing w:before="240" w:after="120"/>
      <w:ind w:left="680" w:right="680"/>
      <w:jc w:val="left"/>
      <w:outlineLvl w:val="2"/>
    </w:pPr>
    <w:rPr>
      <w:b/>
      <w:i/>
      <w:color w:val="262626"/>
      <w:sz w:val="24"/>
    </w:rPr>
  </w:style>
  <w:style w:type="paragraph" w:customStyle="1" w:styleId="Disclaimer">
    <w:name w:val="Disclaimer"/>
    <w:basedOn w:val="Para0"/>
    <w:rsid w:val="00326CAE"/>
    <w:pPr>
      <w:pBdr>
        <w:top w:val="single" w:sz="4" w:space="6" w:color="auto"/>
      </w:pBdr>
      <w:spacing w:before="0" w:line="220" w:lineRule="exact"/>
    </w:pPr>
    <w:rPr>
      <w:sz w:val="18"/>
    </w:rPr>
  </w:style>
  <w:style w:type="paragraph" w:customStyle="1" w:styleId="Action">
    <w:name w:val="Action"/>
    <w:basedOn w:val="Para0"/>
    <w:next w:val="Heading2"/>
    <w:rsid w:val="00326CAE"/>
    <w:rPr>
      <w:u w:val="single"/>
    </w:rPr>
  </w:style>
  <w:style w:type="paragraph" w:customStyle="1" w:styleId="Annotation">
    <w:name w:val="Annotation"/>
    <w:basedOn w:val="Normal"/>
    <w:rsid w:val="004243B4"/>
    <w:pPr>
      <w:numPr>
        <w:numId w:val="1"/>
      </w:numPr>
      <w:pBdr>
        <w:bottom w:val="single" w:sz="4" w:space="10" w:color="auto"/>
      </w:pBdr>
      <w:spacing w:before="120" w:after="120"/>
      <w:ind w:left="981" w:hanging="414"/>
      <w:jc w:val="left"/>
    </w:pPr>
  </w:style>
  <w:style w:type="paragraph" w:styleId="Bibliography">
    <w:name w:val="Bibliography"/>
    <w:basedOn w:val="Normal"/>
    <w:next w:val="Normal"/>
    <w:uiPriority w:val="37"/>
    <w:unhideWhenUsed/>
    <w:qFormat/>
    <w:rsid w:val="00BD75D6"/>
    <w:pPr>
      <w:widowControl/>
      <w:spacing w:after="120"/>
      <w:ind w:left="284" w:hanging="284"/>
      <w:jc w:val="left"/>
    </w:pPr>
    <w:rPr>
      <w:rFonts w:eastAsia="SimSun"/>
    </w:rPr>
  </w:style>
  <w:style w:type="paragraph" w:customStyle="1" w:styleId="Break">
    <w:name w:val="Break"/>
    <w:basedOn w:val="Normal"/>
    <w:next w:val="Time"/>
    <w:rsid w:val="00CA2765"/>
    <w:pPr>
      <w:pBdr>
        <w:top w:val="single" w:sz="4" w:space="4" w:color="auto"/>
        <w:bottom w:val="single" w:sz="4" w:space="4" w:color="auto"/>
      </w:pBdr>
      <w:shd w:val="pct5" w:color="auto" w:fill="auto"/>
      <w:jc w:val="center"/>
    </w:pPr>
    <w:rPr>
      <w:i/>
    </w:rPr>
  </w:style>
  <w:style w:type="paragraph" w:customStyle="1" w:styleId="Time">
    <w:name w:val="Time"/>
    <w:basedOn w:val="Normal"/>
    <w:next w:val="Para0"/>
    <w:rsid w:val="00E67FB6"/>
    <w:pPr>
      <w:keepNext/>
      <w:spacing w:before="240" w:after="120"/>
      <w:ind w:left="851"/>
    </w:pPr>
    <w:rPr>
      <w:b/>
      <w:i/>
    </w:rPr>
  </w:style>
  <w:style w:type="paragraph" w:customStyle="1" w:styleId="Conclusion">
    <w:name w:val="Conclusion"/>
    <w:basedOn w:val="Para0"/>
    <w:next w:val="Heading1"/>
    <w:rsid w:val="0052749E"/>
    <w:pPr>
      <w:jc w:val="center"/>
    </w:pPr>
    <w:rPr>
      <w:b/>
    </w:rPr>
  </w:style>
  <w:style w:type="character" w:styleId="EndnoteReference">
    <w:name w:val="endnote reference"/>
    <w:basedOn w:val="DefaultParagraphFont"/>
    <w:uiPriority w:val="99"/>
    <w:unhideWhenUsed/>
    <w:qFormat/>
    <w:rsid w:val="00BD75D6"/>
    <w:rPr>
      <w:rFonts w:ascii="Times New Roman" w:hAnsi="Times New Roman"/>
      <w:i w:val="0"/>
      <w:position w:val="0"/>
      <w:sz w:val="22"/>
      <w:vertAlign w:val="superscript"/>
    </w:rPr>
  </w:style>
  <w:style w:type="paragraph" w:styleId="FootnoteText">
    <w:name w:val="footnote text"/>
    <w:basedOn w:val="Normal"/>
    <w:link w:val="FootnoteTextChar"/>
    <w:uiPriority w:val="99"/>
    <w:unhideWhenUsed/>
    <w:qFormat/>
    <w:rsid w:val="00BD75D6"/>
    <w:pPr>
      <w:widowControl/>
      <w:spacing w:after="120"/>
      <w:ind w:left="680" w:right="680"/>
    </w:pPr>
    <w:rPr>
      <w:rFonts w:eastAsia="SimSun"/>
      <w:sz w:val="20"/>
    </w:rPr>
  </w:style>
  <w:style w:type="character" w:customStyle="1" w:styleId="FootnoteTextChar">
    <w:name w:val="Footnote Text Char"/>
    <w:basedOn w:val="DefaultParagraphFont"/>
    <w:link w:val="FootnoteText"/>
    <w:uiPriority w:val="99"/>
    <w:rsid w:val="00BD75D6"/>
    <w:rPr>
      <w:rFonts w:eastAsia="SimSun"/>
      <w:sz w:val="20"/>
    </w:rPr>
  </w:style>
  <w:style w:type="paragraph" w:styleId="EndnoteText">
    <w:name w:val="endnote text"/>
    <w:basedOn w:val="FootnoteText"/>
    <w:link w:val="EndnoteTextChar"/>
    <w:uiPriority w:val="99"/>
    <w:unhideWhenUsed/>
    <w:qFormat/>
    <w:rsid w:val="00BD75D6"/>
  </w:style>
  <w:style w:type="character" w:customStyle="1" w:styleId="EndnoteTextChar">
    <w:name w:val="Endnote Text Char"/>
    <w:basedOn w:val="DefaultParagraphFont"/>
    <w:link w:val="EndnoteText"/>
    <w:uiPriority w:val="99"/>
    <w:rsid w:val="00BD75D6"/>
    <w:rPr>
      <w:rFonts w:eastAsia="SimSun"/>
      <w:sz w:val="20"/>
    </w:rPr>
  </w:style>
  <w:style w:type="paragraph" w:customStyle="1" w:styleId="Figure">
    <w:name w:val="Figure"/>
    <w:basedOn w:val="Normal"/>
    <w:rsid w:val="000E2815"/>
    <w:pPr>
      <w:jc w:val="center"/>
    </w:pPr>
  </w:style>
  <w:style w:type="paragraph" w:styleId="Footer">
    <w:name w:val="footer"/>
    <w:basedOn w:val="Normal"/>
    <w:link w:val="FooterChar"/>
    <w:uiPriority w:val="99"/>
    <w:rsid w:val="00404A52"/>
    <w:pPr>
      <w:tabs>
        <w:tab w:val="center" w:pos="4513"/>
        <w:tab w:val="right" w:pos="9026"/>
      </w:tabs>
      <w:spacing w:before="120"/>
      <w:jc w:val="center"/>
    </w:pPr>
    <w:rPr>
      <w:caps/>
      <w:sz w:val="16"/>
    </w:rPr>
  </w:style>
  <w:style w:type="character" w:customStyle="1" w:styleId="FooterChar">
    <w:name w:val="Footer Char"/>
    <w:basedOn w:val="DefaultParagraphFont"/>
    <w:link w:val="Footer"/>
    <w:uiPriority w:val="99"/>
    <w:rsid w:val="00404A52"/>
    <w:rPr>
      <w:caps/>
      <w:sz w:val="16"/>
    </w:rPr>
  </w:style>
  <w:style w:type="paragraph" w:customStyle="1" w:styleId="Para1">
    <w:name w:val="Para #.#"/>
    <w:basedOn w:val="Para"/>
    <w:uiPriority w:val="4"/>
    <w:rsid w:val="00EC45EF"/>
  </w:style>
  <w:style w:type="paragraph" w:customStyle="1" w:styleId="CoverNormal">
    <w:name w:val="CoverNormal"/>
    <w:basedOn w:val="Normal"/>
    <w:link w:val="CoverNormalChar"/>
    <w:rsid w:val="00EF6B7C"/>
    <w:pPr>
      <w:jc w:val="left"/>
    </w:pPr>
    <w:rPr>
      <w:rFonts w:asciiTheme="majorHAnsi" w:hAnsiTheme="majorHAnsi"/>
    </w:rPr>
  </w:style>
  <w:style w:type="paragraph" w:customStyle="1" w:styleId="CoverAbstract">
    <w:name w:val="CoverAbstract"/>
    <w:basedOn w:val="CoverNormal"/>
    <w:semiHidden/>
    <w:rsid w:val="00EC45EF"/>
  </w:style>
  <w:style w:type="paragraph" w:customStyle="1" w:styleId="CoverCancel">
    <w:name w:val="CoverCancel"/>
    <w:basedOn w:val="CoverNormal"/>
    <w:link w:val="CoverCancelChar"/>
    <w:rsid w:val="00EC45EF"/>
    <w:pPr>
      <w:spacing w:before="240" w:after="120" w:line="312" w:lineRule="auto"/>
      <w:jc w:val="center"/>
    </w:pPr>
    <w:rPr>
      <w:b/>
    </w:rPr>
  </w:style>
  <w:style w:type="paragraph" w:customStyle="1" w:styleId="CoverClassification">
    <w:name w:val="CoverClassification"/>
    <w:basedOn w:val="CoverNormal"/>
    <w:rsid w:val="00EC45EF"/>
    <w:rPr>
      <w:b/>
    </w:rPr>
  </w:style>
  <w:style w:type="paragraph" w:customStyle="1" w:styleId="CoverCommittee">
    <w:name w:val="CoverCommittee"/>
    <w:basedOn w:val="CoverNormal"/>
    <w:rsid w:val="00EC45EF"/>
    <w:rPr>
      <w:b/>
    </w:rPr>
  </w:style>
  <w:style w:type="character" w:customStyle="1" w:styleId="CoverCote">
    <w:name w:val="CoverCote"/>
    <w:basedOn w:val="DefaultParagraphFont"/>
    <w:rsid w:val="00EF6B7C"/>
    <w:rPr>
      <w:rFonts w:asciiTheme="majorHAnsi" w:hAnsiTheme="majorHAnsi"/>
      <w:b/>
      <w:caps/>
      <w:smallCaps w:val="0"/>
      <w:sz w:val="22"/>
    </w:rPr>
  </w:style>
  <w:style w:type="paragraph" w:customStyle="1" w:styleId="CoverDate">
    <w:name w:val="CoverDate"/>
    <w:basedOn w:val="CoverNormal"/>
    <w:link w:val="CoverDateChar"/>
    <w:rsid w:val="00EC45EF"/>
    <w:pPr>
      <w:spacing w:before="40" w:after="40"/>
      <w:jc w:val="right"/>
    </w:pPr>
    <w:rPr>
      <w:b/>
      <w:sz w:val="18"/>
    </w:rPr>
  </w:style>
  <w:style w:type="paragraph" w:customStyle="1" w:styleId="CoverDisclaimer">
    <w:name w:val="CoverDisclaimer"/>
    <w:basedOn w:val="CoverNormal"/>
    <w:rsid w:val="00C3172F"/>
    <w:pPr>
      <w:spacing w:line="312" w:lineRule="auto"/>
      <w:jc w:val="both"/>
    </w:pPr>
    <w:rPr>
      <w:b/>
      <w:i/>
      <w:sz w:val="16"/>
    </w:rPr>
  </w:style>
  <w:style w:type="paragraph" w:customStyle="1" w:styleId="CoverInformation">
    <w:name w:val="CoverInformation"/>
    <w:basedOn w:val="CoverNormal"/>
    <w:rsid w:val="00EF6B7C"/>
  </w:style>
  <w:style w:type="paragraph" w:customStyle="1" w:styleId="CoverJobTicket">
    <w:name w:val="CoverJobTicket"/>
    <w:basedOn w:val="CoverNormal"/>
    <w:rsid w:val="00C3172F"/>
    <w:rPr>
      <w:b/>
    </w:rPr>
  </w:style>
  <w:style w:type="paragraph" w:customStyle="1" w:styleId="CoverLanguage">
    <w:name w:val="CoverLanguage"/>
    <w:basedOn w:val="CoverNormal"/>
    <w:rsid w:val="00C3172F"/>
    <w:pPr>
      <w:jc w:val="right"/>
    </w:pPr>
    <w:rPr>
      <w:b/>
    </w:rPr>
  </w:style>
  <w:style w:type="paragraph" w:customStyle="1" w:styleId="CoverPwbCode">
    <w:name w:val="CoverPwbCode"/>
    <w:basedOn w:val="CoverNormal"/>
    <w:rsid w:val="00C3172F"/>
    <w:pPr>
      <w:spacing w:after="120"/>
    </w:pPr>
    <w:rPr>
      <w:b/>
    </w:rPr>
  </w:style>
  <w:style w:type="paragraph" w:customStyle="1" w:styleId="CoverSeriesTitlePublication">
    <w:name w:val="CoverSeriesTitlePublication"/>
    <w:basedOn w:val="CoverNormal"/>
    <w:rsid w:val="00C3172F"/>
    <w:pPr>
      <w:spacing w:after="40"/>
    </w:pPr>
    <w:rPr>
      <w:sz w:val="32"/>
    </w:rPr>
  </w:style>
  <w:style w:type="paragraph" w:customStyle="1" w:styleId="CoverSubTitle">
    <w:name w:val="CoverSubTitle"/>
    <w:basedOn w:val="CoverNormal"/>
    <w:link w:val="CoverSubTitleChar"/>
    <w:rsid w:val="00C3172F"/>
    <w:rPr>
      <w:b/>
    </w:rPr>
  </w:style>
  <w:style w:type="paragraph" w:customStyle="1" w:styleId="CoverSubtitlePublication">
    <w:name w:val="CoverSubtitlePublication"/>
    <w:basedOn w:val="CoverNormal"/>
    <w:rsid w:val="00C3172F"/>
    <w:pPr>
      <w:jc w:val="center"/>
    </w:pPr>
    <w:rPr>
      <w:sz w:val="40"/>
    </w:rPr>
  </w:style>
  <w:style w:type="character" w:customStyle="1" w:styleId="CoverTable">
    <w:name w:val="CoverTable"/>
    <w:uiPriority w:val="1"/>
    <w:semiHidden/>
    <w:rsid w:val="00C3172F"/>
  </w:style>
  <w:style w:type="paragraph" w:customStyle="1" w:styleId="CoverTitle">
    <w:name w:val="CoverTitle"/>
    <w:basedOn w:val="CoverNormal"/>
    <w:link w:val="CoverTitleChar"/>
    <w:rsid w:val="00C3172F"/>
    <w:pPr>
      <w:spacing w:after="240"/>
    </w:pPr>
    <w:rPr>
      <w:b/>
      <w:sz w:val="24"/>
    </w:rPr>
  </w:style>
  <w:style w:type="paragraph" w:customStyle="1" w:styleId="CoverTitlePublication">
    <w:name w:val="CoverTitlePublication"/>
    <w:basedOn w:val="CoverNormal"/>
    <w:rsid w:val="00C3172F"/>
    <w:pPr>
      <w:jc w:val="center"/>
    </w:pPr>
    <w:rPr>
      <w:b/>
      <w:sz w:val="52"/>
    </w:rPr>
  </w:style>
  <w:style w:type="paragraph" w:customStyle="1" w:styleId="CoverWorkingParty">
    <w:name w:val="CoverWorkingParty"/>
    <w:basedOn w:val="CoverNormal"/>
    <w:rsid w:val="00C3172F"/>
    <w:rPr>
      <w:b/>
      <w:sz w:val="24"/>
    </w:rPr>
  </w:style>
  <w:style w:type="paragraph" w:customStyle="1" w:styleId="FooterClassification">
    <w:name w:val="Footer Classification"/>
    <w:basedOn w:val="Normal"/>
    <w:rsid w:val="00404A52"/>
    <w:pPr>
      <w:jc w:val="right"/>
    </w:pPr>
    <w:rPr>
      <w:sz w:val="16"/>
    </w:rPr>
  </w:style>
  <w:style w:type="character" w:styleId="FootnoteReference">
    <w:name w:val="footnote reference"/>
    <w:basedOn w:val="DefaultParagraphFont"/>
    <w:uiPriority w:val="99"/>
    <w:unhideWhenUsed/>
    <w:qFormat/>
    <w:rsid w:val="00BD75D6"/>
    <w:rPr>
      <w:rFonts w:ascii="Times New Roman" w:hAnsi="Times New Roman"/>
      <w:i w:val="0"/>
      <w:position w:val="0"/>
      <w:sz w:val="22"/>
      <w:vertAlign w:val="superscript"/>
    </w:rPr>
  </w:style>
  <w:style w:type="paragraph" w:customStyle="1" w:styleId="GroupHeading">
    <w:name w:val="Group Heading"/>
    <w:basedOn w:val="Normal"/>
    <w:next w:val="Para0"/>
    <w:rsid w:val="00CC1A99"/>
    <w:pPr>
      <w:keepNext/>
      <w:numPr>
        <w:numId w:val="2"/>
      </w:numPr>
      <w:pBdr>
        <w:top w:val="single" w:sz="4" w:space="1" w:color="auto"/>
      </w:pBdr>
      <w:tabs>
        <w:tab w:val="num" w:pos="360"/>
      </w:tabs>
      <w:spacing w:after="120"/>
      <w:ind w:left="357" w:hanging="357"/>
      <w:jc w:val="left"/>
    </w:pPr>
    <w:rPr>
      <w:b/>
      <w:i/>
      <w:color w:val="4E81BD"/>
    </w:rPr>
  </w:style>
  <w:style w:type="paragraph" w:styleId="Header">
    <w:name w:val="header"/>
    <w:basedOn w:val="Normal"/>
    <w:link w:val="HeaderChar"/>
    <w:uiPriority w:val="99"/>
    <w:rsid w:val="00CC1A99"/>
    <w:pPr>
      <w:tabs>
        <w:tab w:val="center" w:pos="4513"/>
        <w:tab w:val="right" w:pos="9026"/>
      </w:tabs>
    </w:pPr>
  </w:style>
  <w:style w:type="character" w:customStyle="1" w:styleId="HeaderChar">
    <w:name w:val="Header Char"/>
    <w:basedOn w:val="DefaultParagraphFont"/>
    <w:link w:val="Header"/>
    <w:uiPriority w:val="99"/>
    <w:rsid w:val="0056606B"/>
    <w:rPr>
      <w:rFonts w:ascii="Times New Roman" w:hAnsi="Times New Roman"/>
    </w:rPr>
  </w:style>
  <w:style w:type="character" w:customStyle="1" w:styleId="HeaderCoteChar">
    <w:name w:val="Header Cote (Char)"/>
    <w:basedOn w:val="DefaultParagraphFont"/>
    <w:uiPriority w:val="1"/>
    <w:semiHidden/>
    <w:rsid w:val="00CC1A99"/>
    <w:rPr>
      <w:rFonts w:ascii="Times New Roman" w:hAnsi="Times New Roman"/>
      <w:sz w:val="22"/>
    </w:rPr>
  </w:style>
  <w:style w:type="paragraph" w:customStyle="1" w:styleId="HeaderOdd">
    <w:name w:val="Header Odd"/>
    <w:basedOn w:val="Normal"/>
    <w:next w:val="Normal"/>
    <w:rsid w:val="004E4993"/>
    <w:pPr>
      <w:pBdr>
        <w:bottom w:val="single" w:sz="4" w:space="0" w:color="auto"/>
      </w:pBdr>
      <w:jc w:val="right"/>
    </w:pPr>
    <w:rPr>
      <w:sz w:val="2"/>
    </w:rPr>
  </w:style>
  <w:style w:type="paragraph" w:customStyle="1" w:styleId="HeaderEven">
    <w:name w:val="Header Even"/>
    <w:basedOn w:val="HeaderOdd"/>
    <w:rsid w:val="004E4993"/>
    <w:pPr>
      <w:jc w:val="left"/>
    </w:pPr>
  </w:style>
  <w:style w:type="character" w:customStyle="1" w:styleId="HeaderTitle">
    <w:name w:val="Header Title"/>
    <w:uiPriority w:val="1"/>
    <w:rsid w:val="00D43B52"/>
    <w:rPr>
      <w:rFonts w:asciiTheme="minorHAnsi" w:hAnsiTheme="minorHAnsi"/>
      <w:caps/>
      <w:smallCaps w:val="0"/>
      <w:sz w:val="18"/>
    </w:rPr>
  </w:style>
  <w:style w:type="paragraph" w:customStyle="1" w:styleId="ImportantInformation">
    <w:name w:val="Important Information"/>
    <w:basedOn w:val="Para0"/>
    <w:rsid w:val="003957E7"/>
    <w:pPr>
      <w:spacing w:after="480"/>
      <w:ind w:left="284" w:right="284"/>
      <w:jc w:val="center"/>
    </w:pPr>
  </w:style>
  <w:style w:type="paragraph" w:customStyle="1" w:styleId="Notes">
    <w:name w:val="Notes"/>
    <w:basedOn w:val="Normal"/>
    <w:rsid w:val="00024178"/>
    <w:pPr>
      <w:keepNext/>
      <w:keepLines/>
      <w:spacing w:before="120"/>
      <w:ind w:left="680" w:right="680"/>
      <w:contextualSpacing/>
    </w:pPr>
    <w:rPr>
      <w:sz w:val="18"/>
    </w:rPr>
  </w:style>
  <w:style w:type="character" w:styleId="PageNumber">
    <w:name w:val="page number"/>
    <w:basedOn w:val="DefaultParagraphFont"/>
    <w:uiPriority w:val="99"/>
    <w:rsid w:val="00D43B52"/>
    <w:rPr>
      <w:rFonts w:asciiTheme="minorHAnsi" w:hAnsiTheme="minorHAnsi"/>
      <w:b/>
      <w:sz w:val="22"/>
    </w:rPr>
  </w:style>
  <w:style w:type="paragraph" w:customStyle="1" w:styleId="ProposedAction">
    <w:name w:val="Proposed Action"/>
    <w:basedOn w:val="Para0"/>
    <w:rsid w:val="003E0362"/>
    <w:pPr>
      <w:numPr>
        <w:numId w:val="3"/>
      </w:numPr>
      <w:tabs>
        <w:tab w:val="num" w:pos="360"/>
        <w:tab w:val="left" w:pos="425"/>
      </w:tabs>
      <w:spacing w:before="0" w:after="240"/>
      <w:ind w:left="2268" w:hanging="425"/>
    </w:pPr>
  </w:style>
  <w:style w:type="paragraph" w:customStyle="1" w:styleId="RefDocuments">
    <w:name w:val="Ref Documents"/>
    <w:basedOn w:val="Para0"/>
    <w:next w:val="Annotation"/>
    <w:rsid w:val="00E53877"/>
    <w:pPr>
      <w:ind w:left="7371"/>
      <w:contextualSpacing/>
    </w:pPr>
  </w:style>
  <w:style w:type="paragraph" w:customStyle="1" w:styleId="Session">
    <w:name w:val="Session"/>
    <w:basedOn w:val="Normal"/>
    <w:next w:val="Time"/>
    <w:rsid w:val="002C1DD6"/>
    <w:pPr>
      <w:keepNext/>
      <w:spacing w:after="240"/>
      <w:jc w:val="left"/>
    </w:pPr>
    <w:rPr>
      <w:i/>
      <w:u w:val="single"/>
    </w:rPr>
  </w:style>
  <w:style w:type="paragraph" w:customStyle="1" w:styleId="SpecialItem">
    <w:name w:val="Special Item"/>
    <w:basedOn w:val="Normal"/>
    <w:next w:val="Time"/>
    <w:rsid w:val="002C1DD6"/>
    <w:pPr>
      <w:spacing w:before="240" w:after="240"/>
    </w:pPr>
    <w:rPr>
      <w:i/>
    </w:rPr>
  </w:style>
  <w:style w:type="character" w:customStyle="1" w:styleId="StatLinkDOI">
    <w:name w:val="StatLink DOI"/>
    <w:basedOn w:val="DefaultParagraphFont"/>
    <w:uiPriority w:val="1"/>
    <w:rsid w:val="00366BED"/>
    <w:rPr>
      <w:rFonts w:asciiTheme="majorHAnsi" w:hAnsiTheme="majorHAnsi"/>
      <w:sz w:val="18"/>
    </w:rPr>
  </w:style>
  <w:style w:type="paragraph" w:customStyle="1" w:styleId="StatLinkLogo">
    <w:name w:val="StatLink Logo"/>
    <w:basedOn w:val="Para0"/>
    <w:next w:val="Para0"/>
    <w:rsid w:val="00196642"/>
    <w:pPr>
      <w:spacing w:before="0" w:after="240"/>
      <w:jc w:val="right"/>
    </w:pPr>
    <w:rPr>
      <w:rFonts w:ascii="StatLink" w:hAnsi="StatLink"/>
      <w:sz w:val="18"/>
    </w:rPr>
  </w:style>
  <w:style w:type="paragraph" w:styleId="TableofFigures">
    <w:name w:val="table of figures"/>
    <w:next w:val="Normal"/>
    <w:uiPriority w:val="99"/>
    <w:rsid w:val="00907E59"/>
    <w:pPr>
      <w:tabs>
        <w:tab w:val="right" w:pos="9072"/>
      </w:tabs>
      <w:spacing w:line="220" w:lineRule="exact"/>
      <w:ind w:right="510"/>
    </w:pPr>
    <w:rPr>
      <w:color w:val="000000" w:themeColor="text1"/>
      <w:sz w:val="18"/>
    </w:rPr>
  </w:style>
  <w:style w:type="paragraph" w:styleId="TOC1">
    <w:name w:val="toc 1"/>
    <w:basedOn w:val="Normal"/>
    <w:next w:val="Normal"/>
    <w:uiPriority w:val="39"/>
    <w:unhideWhenUsed/>
    <w:qFormat/>
    <w:rsid w:val="00BD75D6"/>
    <w:pPr>
      <w:widowControl/>
      <w:tabs>
        <w:tab w:val="right" w:leader="dot" w:pos="9072"/>
      </w:tabs>
      <w:spacing w:before="120" w:after="120"/>
      <w:ind w:right="510"/>
      <w:jc w:val="left"/>
    </w:pPr>
    <w:rPr>
      <w:b/>
      <w:noProof/>
      <w:sz w:val="20"/>
    </w:rPr>
  </w:style>
  <w:style w:type="paragraph" w:styleId="TOC2">
    <w:name w:val="toc 2"/>
    <w:basedOn w:val="Normal"/>
    <w:next w:val="Normal"/>
    <w:uiPriority w:val="39"/>
    <w:unhideWhenUsed/>
    <w:qFormat/>
    <w:rsid w:val="00BD75D6"/>
    <w:pPr>
      <w:widowControl/>
      <w:tabs>
        <w:tab w:val="right" w:leader="dot" w:pos="9072"/>
      </w:tabs>
      <w:ind w:left="198" w:right="510"/>
      <w:jc w:val="left"/>
    </w:pPr>
    <w:rPr>
      <w:noProof/>
      <w:sz w:val="20"/>
    </w:rPr>
  </w:style>
  <w:style w:type="paragraph" w:styleId="TOC3">
    <w:name w:val="toc 3"/>
    <w:basedOn w:val="Normal"/>
    <w:next w:val="Normal"/>
    <w:uiPriority w:val="39"/>
    <w:unhideWhenUsed/>
    <w:qFormat/>
    <w:rsid w:val="00BD75D6"/>
    <w:pPr>
      <w:widowControl/>
      <w:tabs>
        <w:tab w:val="right" w:leader="dot" w:pos="9072"/>
      </w:tabs>
      <w:ind w:left="397" w:right="510"/>
      <w:jc w:val="left"/>
    </w:pPr>
    <w:rPr>
      <w:noProof/>
      <w:sz w:val="20"/>
    </w:rPr>
  </w:style>
  <w:style w:type="paragraph" w:styleId="TOC4">
    <w:name w:val="toc 4"/>
    <w:basedOn w:val="Normal"/>
    <w:next w:val="Normal"/>
    <w:uiPriority w:val="39"/>
    <w:semiHidden/>
    <w:unhideWhenUsed/>
    <w:rsid w:val="0025481A"/>
    <w:pPr>
      <w:tabs>
        <w:tab w:val="right" w:leader="dot" w:pos="9072"/>
      </w:tabs>
      <w:ind w:left="595" w:right="510"/>
      <w:jc w:val="left"/>
    </w:pPr>
  </w:style>
  <w:style w:type="paragraph" w:styleId="TOC5">
    <w:name w:val="toc 5"/>
    <w:aliases w:val="Annotated Item"/>
    <w:basedOn w:val="Normal"/>
    <w:next w:val="Normal"/>
    <w:uiPriority w:val="39"/>
    <w:semiHidden/>
    <w:unhideWhenUsed/>
    <w:rsid w:val="0025481A"/>
    <w:pPr>
      <w:keepNext/>
      <w:spacing w:after="120"/>
    </w:pPr>
    <w:rPr>
      <w:b/>
      <w:color w:val="4E81BD"/>
    </w:rPr>
  </w:style>
  <w:style w:type="paragraph" w:styleId="TOCHeading">
    <w:name w:val="TOC Heading"/>
    <w:basedOn w:val="Heading1"/>
    <w:next w:val="Normal"/>
    <w:uiPriority w:val="39"/>
    <w:unhideWhenUsed/>
    <w:qFormat/>
    <w:rsid w:val="00BD75D6"/>
    <w:pPr>
      <w:numPr>
        <w:numId w:val="0"/>
      </w:numPr>
      <w:tabs>
        <w:tab w:val="clear" w:pos="850"/>
        <w:tab w:val="clear" w:pos="1191"/>
        <w:tab w:val="clear" w:pos="1531"/>
      </w:tabs>
      <w:spacing w:line="276" w:lineRule="auto"/>
      <w:ind w:right="680"/>
      <w:outlineLvl w:val="9"/>
    </w:pPr>
    <w:rPr>
      <w:rFonts w:eastAsia="SimHei"/>
      <w:b w:val="0"/>
      <w:bCs w:val="0"/>
      <w:i/>
      <w:kern w:val="0"/>
      <w:sz w:val="32"/>
    </w:rPr>
  </w:style>
  <w:style w:type="paragraph" w:styleId="Subtitle">
    <w:name w:val="Subtitle"/>
    <w:next w:val="Para0"/>
    <w:link w:val="SubtitleChar"/>
    <w:uiPriority w:val="11"/>
    <w:rsid w:val="00160B10"/>
    <w:pPr>
      <w:keepNext/>
      <w:numPr>
        <w:ilvl w:val="1"/>
      </w:numPr>
      <w:spacing w:before="240" w:after="120" w:line="240" w:lineRule="exact"/>
    </w:pPr>
    <w:rPr>
      <w:rFonts w:asciiTheme="majorHAnsi" w:eastAsiaTheme="minorEastAsia" w:hAnsiTheme="majorHAnsi"/>
      <w:b/>
      <w:color w:val="4E81BD" w:themeColor="accent1"/>
      <w:sz w:val="24"/>
    </w:rPr>
  </w:style>
  <w:style w:type="character" w:customStyle="1" w:styleId="SubtitleChar">
    <w:name w:val="Subtitle Char"/>
    <w:basedOn w:val="DefaultParagraphFont"/>
    <w:link w:val="Subtitle"/>
    <w:uiPriority w:val="11"/>
    <w:rsid w:val="00160B10"/>
    <w:rPr>
      <w:rFonts w:asciiTheme="majorHAnsi" w:eastAsiaTheme="minorEastAsia" w:hAnsiTheme="majorHAnsi"/>
      <w:b/>
      <w:color w:val="4E81BD" w:themeColor="accent1"/>
      <w:sz w:val="24"/>
    </w:rPr>
  </w:style>
  <w:style w:type="character" w:styleId="PlaceholderText">
    <w:name w:val="Placeholder Text"/>
    <w:basedOn w:val="DefaultParagraphFont"/>
    <w:uiPriority w:val="99"/>
    <w:semiHidden/>
    <w:rsid w:val="00CC3749"/>
    <w:rPr>
      <w:color w:val="808080"/>
    </w:rPr>
  </w:style>
  <w:style w:type="paragraph" w:customStyle="1" w:styleId="CoverDirectorate">
    <w:name w:val="CoverDirectorate"/>
    <w:basedOn w:val="CoverNormal"/>
    <w:link w:val="CoverDirectorateChar"/>
    <w:rsid w:val="004529B7"/>
    <w:rPr>
      <w:b/>
    </w:rPr>
  </w:style>
  <w:style w:type="table" w:styleId="TableGrid">
    <w:name w:val="Table Grid"/>
    <w:basedOn w:val="TableNormal"/>
    <w:uiPriority w:val="59"/>
    <w:rsid w:val="00992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NormalChar">
    <w:name w:val="CoverNormal Char"/>
    <w:basedOn w:val="DefaultParagraphFont"/>
    <w:link w:val="CoverNormal"/>
    <w:rsid w:val="00EF6B7C"/>
    <w:rPr>
      <w:rFonts w:asciiTheme="majorHAnsi" w:hAnsiTheme="majorHAnsi"/>
    </w:rPr>
  </w:style>
  <w:style w:type="character" w:customStyle="1" w:styleId="CoverSubTitleChar">
    <w:name w:val="CoverSubTitle Char"/>
    <w:basedOn w:val="DefaultParagraphFont"/>
    <w:link w:val="CoverSubTitle"/>
    <w:rsid w:val="00FB0CE9"/>
    <w:rPr>
      <w:rFonts w:ascii="Times New Roman" w:hAnsi="Times New Roman"/>
      <w:b/>
    </w:rPr>
  </w:style>
  <w:style w:type="character" w:customStyle="1" w:styleId="CoverTitleChar">
    <w:name w:val="CoverTitle Char"/>
    <w:basedOn w:val="DefaultParagraphFont"/>
    <w:link w:val="CoverTitle"/>
    <w:rsid w:val="00FB0CE9"/>
    <w:rPr>
      <w:rFonts w:ascii="Times New Roman" w:hAnsi="Times New Roman"/>
      <w:b/>
      <w:sz w:val="24"/>
    </w:rPr>
  </w:style>
  <w:style w:type="character" w:customStyle="1" w:styleId="CoverCancelChar">
    <w:name w:val="CoverCancel Char"/>
    <w:basedOn w:val="DefaultParagraphFont"/>
    <w:link w:val="CoverCancel"/>
    <w:rsid w:val="00FB0CE9"/>
    <w:rPr>
      <w:rFonts w:ascii="Times New Roman" w:hAnsi="Times New Roman"/>
      <w:b/>
    </w:rPr>
  </w:style>
  <w:style w:type="character" w:customStyle="1" w:styleId="CoverDirectorateChar">
    <w:name w:val="CoverDirectorate Char"/>
    <w:basedOn w:val="CoverNormalChar"/>
    <w:link w:val="CoverDirectorate"/>
    <w:rsid w:val="00FB0CE9"/>
    <w:rPr>
      <w:rFonts w:ascii="Times New Roman" w:hAnsi="Times New Roman"/>
      <w:b/>
    </w:rPr>
  </w:style>
  <w:style w:type="character" w:customStyle="1" w:styleId="CoverDateChar">
    <w:name w:val="CoverDate Char"/>
    <w:basedOn w:val="CoverNormalChar"/>
    <w:link w:val="CoverDate"/>
    <w:rsid w:val="00FB0CE9"/>
    <w:rPr>
      <w:rFonts w:ascii="Times New Roman" w:hAnsi="Times New Roman"/>
      <w:b/>
      <w:sz w:val="18"/>
    </w:rPr>
  </w:style>
  <w:style w:type="character" w:styleId="Hyperlink">
    <w:name w:val="Hyperlink"/>
    <w:basedOn w:val="DefaultParagraphFont"/>
    <w:uiPriority w:val="99"/>
    <w:unhideWhenUsed/>
    <w:rsid w:val="00461C3F"/>
    <w:rPr>
      <w:color w:val="0000FF" w:themeColor="hyperlink"/>
      <w:u w:val="single"/>
    </w:rPr>
  </w:style>
  <w:style w:type="table" w:customStyle="1" w:styleId="OECDOld">
    <w:name w:val="OECD Old"/>
    <w:basedOn w:val="LightShading-Accent1"/>
    <w:uiPriority w:val="99"/>
    <w:rsid w:val="00D95933"/>
    <w:rPr>
      <w:rFonts w:ascii="Georgia" w:eastAsia="Times New Roman" w:hAnsi="Georgia"/>
      <w:sz w:val="20"/>
      <w:szCs w:val="20"/>
      <w:lang w:val="en-US" w:eastAsia="en-GB"/>
    </w:rPr>
    <w:tblPr>
      <w:jc w:val="center"/>
      <w:tblBorders>
        <w:top w:val="none" w:sz="0" w:space="0" w:color="auto"/>
        <w:bottom w:val="single" w:sz="12" w:space="0" w:color="auto"/>
      </w:tblBorders>
    </w:tblPr>
    <w:trPr>
      <w:jc w:val="center"/>
    </w:trPr>
    <w:tcPr>
      <w:shd w:val="clear" w:color="auto" w:fill="FFFFFF" w:themeFill="background1"/>
    </w:tcPr>
    <w:tblStylePr w:type="firstRow">
      <w:pPr>
        <w:spacing w:before="0" w:after="0" w:line="240" w:lineRule="auto"/>
      </w:pPr>
      <w:rPr>
        <w:rFonts w:cs="Times New Roman"/>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rFonts w:cs="Times New Roman"/>
        <w:b w:val="0"/>
        <w:bCs/>
      </w:rPr>
      <w:tblPr/>
      <w:tcPr>
        <w:tcBorders>
          <w:top w:val="single" w:sz="8" w:space="0" w:color="4E81BD" w:themeColor="accent1"/>
          <w:left w:val="nil"/>
          <w:bottom w:val="single" w:sz="8" w:space="0" w:color="4E81BD" w:themeColor="accent1"/>
          <w:right w:val="nil"/>
          <w:insideH w:val="nil"/>
          <w:insideV w:val="nil"/>
        </w:tcBorders>
      </w:tcPr>
    </w:tblStylePr>
    <w:tblStylePr w:type="firstCol">
      <w:rPr>
        <w:rFonts w:cs="Times New Roman"/>
        <w:b w:val="0"/>
        <w:bCs/>
      </w:rPr>
    </w:tblStylePr>
    <w:tblStylePr w:type="lastCol">
      <w:rPr>
        <w:rFonts w:cs="Times New Roman"/>
        <w:b w:val="0"/>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EDF0F7"/>
      </w:tcPr>
    </w:tblStylePr>
    <w:tblStylePr w:type="band2Horz">
      <w:rPr>
        <w:rFonts w:cs="Times New Roman"/>
      </w:rPr>
      <w:tblPr/>
      <w:tcPr>
        <w:shd w:val="clear" w:color="auto" w:fill="FFFFFF" w:themeFill="background1"/>
      </w:tcPr>
    </w:tblStylePr>
  </w:style>
  <w:style w:type="table" w:styleId="LightShading-Accent1">
    <w:name w:val="Light Shading Accent 1"/>
    <w:basedOn w:val="TableNormal"/>
    <w:uiPriority w:val="60"/>
    <w:semiHidden/>
    <w:unhideWhenUsed/>
    <w:rsid w:val="005A6B81"/>
    <w:rPr>
      <w:color w:val="366091" w:themeColor="accent1" w:themeShade="BF"/>
    </w:rPr>
    <w:tblPr>
      <w:tblStyleRowBandSize w:val="1"/>
      <w:tblStyleColBandSize w:val="1"/>
      <w:tblBorders>
        <w:top w:val="single" w:sz="8" w:space="0" w:color="4E81BD" w:themeColor="accent1"/>
        <w:bottom w:val="single" w:sz="8" w:space="0" w:color="4E81BD" w:themeColor="accent1"/>
      </w:tblBorders>
    </w:tblPr>
    <w:tblStylePr w:type="firstRow">
      <w:pPr>
        <w:spacing w:before="0" w:after="0" w:line="240" w:lineRule="auto"/>
      </w:pPr>
      <w:rPr>
        <w:b/>
        <w:bCs/>
      </w:rPr>
      <w:tblPr/>
      <w:tcPr>
        <w:tcBorders>
          <w:top w:val="single" w:sz="8" w:space="0" w:color="4E81BD" w:themeColor="accent1"/>
          <w:left w:val="nil"/>
          <w:bottom w:val="single" w:sz="8" w:space="0" w:color="4E81BD" w:themeColor="accent1"/>
          <w:right w:val="nil"/>
          <w:insideH w:val="nil"/>
          <w:insideV w:val="nil"/>
        </w:tcBorders>
      </w:tcPr>
    </w:tblStylePr>
    <w:tblStylePr w:type="lastRow">
      <w:pPr>
        <w:spacing w:before="0" w:after="0" w:line="240" w:lineRule="auto"/>
      </w:pPr>
      <w:rPr>
        <w:b/>
        <w:bCs/>
      </w:rPr>
      <w:tblPr/>
      <w:tcPr>
        <w:tcBorders>
          <w:top w:val="single" w:sz="8" w:space="0" w:color="4E81BD" w:themeColor="accent1"/>
          <w:left w:val="nil"/>
          <w:bottom w:val="single" w:sz="8" w:space="0" w:color="4E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ParaOpener">
    <w:name w:val="Para Opener"/>
    <w:next w:val="Para0"/>
    <w:uiPriority w:val="11"/>
    <w:rsid w:val="00991A9A"/>
    <w:pPr>
      <w:spacing w:before="240" w:after="240" w:line="320" w:lineRule="exact"/>
      <w:jc w:val="both"/>
    </w:pPr>
    <w:rPr>
      <w:rFonts w:asciiTheme="majorHAnsi" w:hAnsiTheme="majorHAnsi"/>
      <w:color w:val="4E81BD" w:themeColor="accent1"/>
      <w:sz w:val="24"/>
    </w:rPr>
  </w:style>
  <w:style w:type="paragraph" w:customStyle="1" w:styleId="InBriefOpener">
    <w:name w:val="InBrief Opener"/>
    <w:rsid w:val="00635AEE"/>
    <w:pPr>
      <w:pageBreakBefore/>
      <w:spacing w:after="120" w:line="1040" w:lineRule="exact"/>
      <w:ind w:right="680"/>
    </w:pPr>
    <w:rPr>
      <w:rFonts w:asciiTheme="majorHAnsi" w:hAnsiTheme="majorHAnsi"/>
      <w:b/>
      <w:color w:val="4E81BD" w:themeColor="accent1"/>
      <w:sz w:val="96"/>
    </w:rPr>
  </w:style>
  <w:style w:type="paragraph" w:customStyle="1" w:styleId="InBriefTitle">
    <w:name w:val="InBrief Title"/>
    <w:next w:val="Para0"/>
    <w:uiPriority w:val="16"/>
    <w:rsid w:val="00722339"/>
    <w:pPr>
      <w:spacing w:after="360" w:line="320" w:lineRule="exact"/>
      <w:ind w:right="57"/>
    </w:pPr>
    <w:rPr>
      <w:rFonts w:asciiTheme="majorHAnsi" w:hAnsiTheme="majorHAnsi"/>
      <w:b/>
      <w:color w:val="4E81BD" w:themeColor="accent1"/>
      <w:sz w:val="28"/>
    </w:rPr>
  </w:style>
  <w:style w:type="paragraph" w:customStyle="1" w:styleId="Author">
    <w:name w:val="Author"/>
    <w:next w:val="Para0"/>
    <w:uiPriority w:val="6"/>
    <w:rsid w:val="00821370"/>
    <w:pPr>
      <w:spacing w:before="180" w:after="240" w:line="260" w:lineRule="exact"/>
      <w:ind w:right="284"/>
      <w:jc w:val="right"/>
    </w:pPr>
    <w:rPr>
      <w:rFonts w:asciiTheme="majorHAnsi" w:hAnsiTheme="majorHAnsi"/>
    </w:rPr>
  </w:style>
  <w:style w:type="paragraph" w:customStyle="1" w:styleId="Heading2Indicator">
    <w:name w:val="Heading 2 (Indicator)"/>
    <w:next w:val="Para0"/>
    <w:uiPriority w:val="8"/>
    <w:rsid w:val="00966A58"/>
    <w:pPr>
      <w:pageBreakBefore/>
      <w:spacing w:after="480" w:line="560" w:lineRule="exact"/>
      <w:outlineLvl w:val="1"/>
    </w:pPr>
    <w:rPr>
      <w:rFonts w:asciiTheme="majorHAnsi" w:eastAsiaTheme="majorEastAsia" w:hAnsiTheme="majorHAnsi" w:cstheme="majorBidi"/>
      <w:b/>
      <w:color w:val="4E81BD" w:themeColor="accent1"/>
      <w:sz w:val="52"/>
      <w:szCs w:val="26"/>
    </w:rPr>
  </w:style>
  <w:style w:type="paragraph" w:customStyle="1" w:styleId="BoxHeading2">
    <w:name w:val="Box Heading 2"/>
    <w:next w:val="Para0"/>
    <w:uiPriority w:val="14"/>
    <w:rsid w:val="000E5F57"/>
    <w:pPr>
      <w:spacing w:before="180" w:after="120"/>
    </w:pPr>
    <w:rPr>
      <w:rFonts w:asciiTheme="majorHAnsi" w:hAnsiTheme="majorHAnsi"/>
      <w:b/>
      <w:i/>
      <w:color w:val="000000" w:themeColor="text1"/>
    </w:rPr>
  </w:style>
  <w:style w:type="table" w:customStyle="1" w:styleId="OECD">
    <w:name w:val="OECD"/>
    <w:basedOn w:val="TableSimple1"/>
    <w:uiPriority w:val="99"/>
    <w:rsid w:val="00625626"/>
    <w:pPr>
      <w:spacing w:before="10" w:after="20" w:line="200" w:lineRule="exact"/>
    </w:pPr>
    <w:rPr>
      <w:rFonts w:ascii="Arial Narrow" w:hAnsi="Arial Narrow"/>
      <w:sz w:val="17"/>
      <w:szCs w:val="20"/>
      <w:lang w:val="en-US" w:eastAsia="en-GB"/>
    </w:rPr>
    <w:tblPr>
      <w:tblBorders>
        <w:top w:val="single" w:sz="12" w:space="0" w:color="4E81BD" w:themeColor="accent1"/>
        <w:bottom w:val="single" w:sz="12" w:space="0" w:color="4E81BD" w:themeColor="accent1"/>
        <w:insideH w:val="single" w:sz="6" w:space="0" w:color="BFBFBF" w:themeColor="background1" w:themeShade="BF"/>
        <w:insideV w:val="single" w:sz="6" w:space="0" w:color="BFBFBF" w:themeColor="background1" w:themeShade="BF"/>
      </w:tblBorders>
    </w:tblPr>
    <w:tcPr>
      <w:shd w:val="clear" w:color="auto" w:fill="auto"/>
    </w:tcPr>
    <w:tblStylePr w:type="firstRow">
      <w:tblPr/>
      <w:tcPr>
        <w:tcBorders>
          <w:bottom w:val="single" w:sz="6" w:space="0" w:color="4E81BD" w:themeColor="accent1"/>
          <w:tl2br w:val="none" w:sz="0" w:space="0" w:color="auto"/>
          <w:tr2bl w:val="none" w:sz="0" w:space="0" w:color="auto"/>
        </w:tcBorders>
        <w:shd w:val="clear" w:color="auto" w:fill="auto"/>
      </w:tcPr>
    </w:tblStylePr>
    <w:tblStylePr w:type="lastRow">
      <w:tblPr/>
      <w:tcPr>
        <w:tcBorders>
          <w:top w:val="nil"/>
          <w:tl2br w:val="none" w:sz="0" w:space="0" w:color="auto"/>
          <w:tr2bl w:val="none" w:sz="0" w:space="0" w:color="auto"/>
        </w:tcBorders>
        <w:shd w:val="clear" w:color="auto" w:fill="auto"/>
      </w:tcPr>
    </w:tblStylePr>
  </w:style>
  <w:style w:type="table" w:styleId="TableSimple1">
    <w:name w:val="Table Simple 1"/>
    <w:basedOn w:val="TableNormal"/>
    <w:uiPriority w:val="99"/>
    <w:semiHidden/>
    <w:unhideWhenUsed/>
    <w:rsid w:val="009E05F9"/>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OC9">
    <w:name w:val="toc 9"/>
    <w:next w:val="Normal"/>
    <w:autoRedefine/>
    <w:uiPriority w:val="39"/>
    <w:rsid w:val="001C4E4F"/>
    <w:pPr>
      <w:tabs>
        <w:tab w:val="right" w:pos="9072"/>
      </w:tabs>
      <w:spacing w:before="240" w:after="40" w:line="300" w:lineRule="exact"/>
      <w:ind w:left="284" w:right="652" w:hanging="284"/>
    </w:pPr>
    <w:rPr>
      <w:rFonts w:asciiTheme="majorHAnsi" w:hAnsiTheme="majorHAnsi"/>
      <w:b/>
      <w:color w:val="4E81BD" w:themeColor="accent1"/>
      <w:sz w:val="28"/>
    </w:rPr>
  </w:style>
  <w:style w:type="paragraph" w:customStyle="1" w:styleId="KeyBoxTitle">
    <w:name w:val="KeyBox Title"/>
    <w:basedOn w:val="Caption"/>
    <w:next w:val="Para0"/>
    <w:rsid w:val="00C71392"/>
    <w:pPr>
      <w:spacing w:before="0" w:after="360" w:line="440" w:lineRule="exact"/>
      <w:ind w:right="57"/>
    </w:pPr>
    <w:rPr>
      <w:rFonts w:eastAsiaTheme="majorEastAsia" w:cstheme="majorBidi"/>
      <w:iCs w:val="0"/>
      <w:sz w:val="36"/>
      <w:szCs w:val="26"/>
    </w:rPr>
  </w:style>
  <w:style w:type="paragraph" w:customStyle="1" w:styleId="Heading2IndicatorSublevel">
    <w:name w:val="Heading 2 (Indicator Sublevel)"/>
    <w:basedOn w:val="Heading2"/>
    <w:next w:val="Para0"/>
    <w:uiPriority w:val="9"/>
    <w:rsid w:val="00F47BCF"/>
    <w:pPr>
      <w:outlineLvl w:val="2"/>
    </w:pPr>
  </w:style>
  <w:style w:type="paragraph" w:styleId="TOAHeading">
    <w:name w:val="toa heading"/>
    <w:basedOn w:val="Normal"/>
    <w:next w:val="Normal"/>
    <w:uiPriority w:val="99"/>
    <w:unhideWhenUsed/>
    <w:qFormat/>
    <w:rsid w:val="00BD75D6"/>
    <w:pPr>
      <w:widowControl/>
      <w:spacing w:before="120"/>
    </w:pPr>
    <w:rPr>
      <w:rFonts w:ascii="Arial" w:eastAsia="SimSun" w:hAnsi="Arial" w:cs="Arial"/>
      <w:b/>
      <w:bCs/>
      <w:sz w:val="24"/>
      <w:szCs w:val="24"/>
    </w:rPr>
  </w:style>
  <w:style w:type="character" w:customStyle="1" w:styleId="QuotationshortChar">
    <w:name w:val="Quotation (short) Char"/>
    <w:basedOn w:val="DefaultParagraphFont"/>
    <w:link w:val="Quotationshort"/>
    <w:uiPriority w:val="11"/>
    <w:rsid w:val="00BD75D6"/>
    <w:rPr>
      <w:rFonts w:eastAsia="SimSun"/>
      <w:i/>
    </w:rPr>
  </w:style>
  <w:style w:type="character" w:customStyle="1" w:styleId="ParaChar0">
    <w:name w:val="Para # Char"/>
    <w:basedOn w:val="DefaultParagraphFont"/>
    <w:link w:val="Para"/>
    <w:uiPriority w:val="4"/>
    <w:rsid w:val="00BD75D6"/>
    <w:rPr>
      <w:rFonts w:eastAsia="SimSun"/>
    </w:rPr>
  </w:style>
  <w:style w:type="table" w:customStyle="1" w:styleId="OECD2">
    <w:name w:val="OECD2"/>
    <w:basedOn w:val="TableSimple1"/>
    <w:uiPriority w:val="99"/>
    <w:rsid w:val="00104561"/>
    <w:pPr>
      <w:spacing w:before="10" w:after="20" w:line="200" w:lineRule="exact"/>
    </w:pPr>
    <w:rPr>
      <w:rFonts w:ascii="Arial Narrow" w:hAnsi="Arial Narrow"/>
      <w:sz w:val="17"/>
      <w:szCs w:val="20"/>
      <w:lang w:val="fr-FR" w:eastAsia="en-GB"/>
    </w:rPr>
    <w:tblPr>
      <w:tblBorders>
        <w:top w:val="single" w:sz="12" w:space="0" w:color="4E81BD" w:themeColor="accent1"/>
        <w:bottom w:val="single" w:sz="12" w:space="0" w:color="4E81BD" w:themeColor="accent1"/>
        <w:insideH w:val="single" w:sz="6" w:space="0" w:color="BFBFBF" w:themeColor="background1" w:themeShade="BF"/>
        <w:insideV w:val="single" w:sz="6" w:space="0" w:color="BFBFBF" w:themeColor="background1" w:themeShade="BF"/>
      </w:tblBorders>
    </w:tblPr>
    <w:tcPr>
      <w:shd w:val="clear" w:color="auto" w:fill="auto"/>
    </w:tcPr>
    <w:tblStylePr w:type="firstRow">
      <w:tblPr/>
      <w:tcPr>
        <w:tcBorders>
          <w:bottom w:val="single" w:sz="6" w:space="0" w:color="4E81BD" w:themeColor="accent1"/>
          <w:tl2br w:val="none" w:sz="0" w:space="0" w:color="auto"/>
          <w:tr2bl w:val="none" w:sz="0" w:space="0" w:color="auto"/>
        </w:tcBorders>
        <w:shd w:val="clear" w:color="auto" w:fill="auto"/>
      </w:tcPr>
    </w:tblStylePr>
    <w:tblStylePr w:type="lastRow">
      <w:tblPr/>
      <w:tcPr>
        <w:tcBorders>
          <w:top w:val="nil"/>
          <w:tl2br w:val="none" w:sz="0" w:space="0" w:color="auto"/>
          <w:tr2bl w:val="none" w:sz="0" w:space="0" w:color="auto"/>
        </w:tcBorders>
        <w:shd w:val="clear" w:color="auto" w:fill="auto"/>
      </w:tcPr>
    </w:tblStylePr>
  </w:style>
  <w:style w:type="paragraph" w:styleId="CommentText">
    <w:name w:val="annotation text"/>
    <w:basedOn w:val="Normal"/>
    <w:link w:val="CommentTextChar"/>
    <w:uiPriority w:val="99"/>
    <w:unhideWhenUsed/>
    <w:rsid w:val="00F25ADC"/>
    <w:pPr>
      <w:widowControl/>
      <w:spacing w:after="160"/>
      <w:jc w:val="left"/>
    </w:pPr>
    <w:rPr>
      <w:sz w:val="20"/>
      <w:szCs w:val="20"/>
    </w:rPr>
  </w:style>
  <w:style w:type="character" w:customStyle="1" w:styleId="CommentTextChar">
    <w:name w:val="Comment Text Char"/>
    <w:basedOn w:val="DefaultParagraphFont"/>
    <w:link w:val="CommentText"/>
    <w:uiPriority w:val="99"/>
    <w:rsid w:val="00F25ADC"/>
    <w:rPr>
      <w:sz w:val="20"/>
      <w:szCs w:val="20"/>
    </w:rPr>
  </w:style>
  <w:style w:type="character" w:styleId="CommentReference">
    <w:name w:val="annotation reference"/>
    <w:basedOn w:val="DefaultParagraphFont"/>
    <w:uiPriority w:val="99"/>
    <w:semiHidden/>
    <w:unhideWhenUsed/>
    <w:rsid w:val="00F25ADC"/>
    <w:rPr>
      <w:sz w:val="16"/>
      <w:szCs w:val="16"/>
    </w:rPr>
  </w:style>
  <w:style w:type="paragraph" w:styleId="CommentSubject">
    <w:name w:val="annotation subject"/>
    <w:basedOn w:val="CommentText"/>
    <w:next w:val="CommentText"/>
    <w:link w:val="CommentSubjectChar"/>
    <w:uiPriority w:val="99"/>
    <w:semiHidden/>
    <w:unhideWhenUsed/>
    <w:rsid w:val="00945A96"/>
    <w:pPr>
      <w:widowControl w:val="0"/>
      <w:spacing w:after="0"/>
      <w:jc w:val="both"/>
    </w:pPr>
    <w:rPr>
      <w:b/>
      <w:bCs/>
    </w:rPr>
  </w:style>
  <w:style w:type="character" w:customStyle="1" w:styleId="CommentSubjectChar">
    <w:name w:val="Comment Subject Char"/>
    <w:basedOn w:val="CommentTextChar"/>
    <w:link w:val="CommentSubject"/>
    <w:uiPriority w:val="99"/>
    <w:semiHidden/>
    <w:rsid w:val="00945A96"/>
    <w:rPr>
      <w:b/>
      <w:bCs/>
      <w:sz w:val="20"/>
      <w:szCs w:val="20"/>
    </w:rPr>
  </w:style>
  <w:style w:type="character" w:styleId="UnresolvedMention">
    <w:name w:val="Unresolved Mention"/>
    <w:basedOn w:val="DefaultParagraphFont"/>
    <w:uiPriority w:val="99"/>
    <w:semiHidden/>
    <w:unhideWhenUsed/>
    <w:rsid w:val="003A6712"/>
    <w:rPr>
      <w:color w:val="605E5C"/>
      <w:shd w:val="clear" w:color="auto" w:fill="E1DFDD"/>
    </w:rPr>
  </w:style>
  <w:style w:type="paragraph" w:customStyle="1" w:styleId="Default">
    <w:name w:val="Default"/>
    <w:rsid w:val="003A6712"/>
    <w:pPr>
      <w:autoSpaceDE w:val="0"/>
      <w:autoSpaceDN w:val="0"/>
      <w:adjustRightInd w:val="0"/>
    </w:pPr>
    <w:rPr>
      <w:rFonts w:ascii="Calibri" w:hAnsi="Calibri" w:cs="Calibri"/>
      <w:color w:val="000000"/>
      <w:sz w:val="24"/>
      <w:szCs w:val="24"/>
      <w:lang w:val="en-US"/>
    </w:rPr>
  </w:style>
  <w:style w:type="paragraph" w:customStyle="1" w:styleId="footnotedescription">
    <w:name w:val="footnote description"/>
    <w:next w:val="Normal"/>
    <w:link w:val="footnotedescriptionChar"/>
    <w:hidden/>
    <w:rsid w:val="003A6712"/>
    <w:pPr>
      <w:spacing w:line="257" w:lineRule="auto"/>
      <w:ind w:left="566"/>
    </w:pPr>
    <w:rPr>
      <w:rFonts w:ascii="Cambria" w:eastAsia="Cambria" w:hAnsi="Cambria" w:cs="Cambria"/>
      <w:color w:val="000000"/>
      <w:sz w:val="20"/>
      <w:lang w:val="it-IT" w:eastAsia="it-IT"/>
    </w:rPr>
  </w:style>
  <w:style w:type="character" w:customStyle="1" w:styleId="footnotedescriptionChar">
    <w:name w:val="footnote description Char"/>
    <w:link w:val="footnotedescription"/>
    <w:rsid w:val="003A6712"/>
    <w:rPr>
      <w:rFonts w:ascii="Cambria" w:eastAsia="Cambria" w:hAnsi="Cambria" w:cs="Cambria"/>
      <w:color w:val="000000"/>
      <w:sz w:val="20"/>
      <w:lang w:val="it-IT" w:eastAsia="it-IT"/>
    </w:rPr>
  </w:style>
  <w:style w:type="character" w:customStyle="1" w:styleId="footnotemark">
    <w:name w:val="footnote mark"/>
    <w:hidden/>
    <w:rsid w:val="003A6712"/>
    <w:rPr>
      <w:rFonts w:ascii="Times New Roman" w:eastAsia="Times New Roman" w:hAnsi="Times New Roman" w:cs="Times New Roman"/>
      <w:color w:val="000000"/>
      <w:sz w:val="20"/>
      <w:vertAlign w:val="superscript"/>
    </w:rPr>
  </w:style>
  <w:style w:type="paragraph" w:customStyle="1" w:styleId="LegalNumPar">
    <w:name w:val="LegalNumPar"/>
    <w:basedOn w:val="Normal"/>
    <w:rsid w:val="003A6712"/>
    <w:pPr>
      <w:widowControl/>
      <w:spacing w:after="160" w:line="360" w:lineRule="auto"/>
      <w:ind w:left="476" w:hanging="476"/>
      <w:jc w:val="left"/>
    </w:pPr>
    <w:rPr>
      <w:sz w:val="24"/>
      <w:lang w:val="en-IE"/>
    </w:rPr>
  </w:style>
  <w:style w:type="paragraph" w:customStyle="1" w:styleId="LegalNumPar3">
    <w:name w:val="LegalNumPar3"/>
    <w:basedOn w:val="Normal"/>
    <w:rsid w:val="003A6712"/>
    <w:pPr>
      <w:widowControl/>
      <w:spacing w:after="160" w:line="360" w:lineRule="auto"/>
      <w:ind w:left="1429" w:hanging="476"/>
      <w:jc w:val="left"/>
    </w:pPr>
    <w:rPr>
      <w:sz w:val="24"/>
      <w:lang w:val="en-IE"/>
    </w:rPr>
  </w:style>
  <w:style w:type="paragraph" w:customStyle="1" w:styleId="LegalNumPar2">
    <w:name w:val="LegalNumPar2"/>
    <w:basedOn w:val="Normal"/>
    <w:rsid w:val="003A6712"/>
    <w:pPr>
      <w:widowControl/>
      <w:spacing w:after="160" w:line="360" w:lineRule="auto"/>
      <w:ind w:left="953" w:hanging="477"/>
      <w:jc w:val="left"/>
    </w:pPr>
    <w:rPr>
      <w:rFonts w:asciiTheme="minorHAnsi" w:hAnsiTheme="minorHAnsi" w:cstheme="minorBidi"/>
      <w:sz w:val="24"/>
      <w:lang w:val="en-IE"/>
    </w:rPr>
  </w:style>
  <w:style w:type="paragraph" w:styleId="Revision">
    <w:name w:val="Revision"/>
    <w:hidden/>
    <w:uiPriority w:val="99"/>
    <w:semiHidden/>
    <w:rsid w:val="003A6712"/>
  </w:style>
  <w:style w:type="character" w:styleId="FollowedHyperlink">
    <w:name w:val="FollowedHyperlink"/>
    <w:basedOn w:val="DefaultParagraphFont"/>
    <w:uiPriority w:val="99"/>
    <w:semiHidden/>
    <w:unhideWhenUsed/>
    <w:rsid w:val="003A6712"/>
    <w:rPr>
      <w:color w:val="800080" w:themeColor="followedHyperlink"/>
      <w:u w:val="single"/>
    </w:rPr>
  </w:style>
  <w:style w:type="paragraph" w:customStyle="1" w:styleId="pf0">
    <w:name w:val="pf0"/>
    <w:basedOn w:val="Normal"/>
    <w:rsid w:val="003A6712"/>
    <w:pPr>
      <w:widowControl/>
      <w:spacing w:before="100" w:beforeAutospacing="1" w:after="100" w:afterAutospacing="1"/>
      <w:ind w:left="710" w:right="680"/>
    </w:pPr>
    <w:rPr>
      <w:rFonts w:eastAsia="Times New Roman"/>
      <w:sz w:val="24"/>
      <w:szCs w:val="24"/>
      <w:lang w:val="en-US"/>
    </w:rPr>
  </w:style>
  <w:style w:type="character" w:customStyle="1" w:styleId="cf01">
    <w:name w:val="cf01"/>
    <w:basedOn w:val="DefaultParagraphFont"/>
    <w:rsid w:val="003A671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88427">
      <w:bodyDiv w:val="1"/>
      <w:marLeft w:val="0"/>
      <w:marRight w:val="0"/>
      <w:marTop w:val="0"/>
      <w:marBottom w:val="0"/>
      <w:divBdr>
        <w:top w:val="none" w:sz="0" w:space="0" w:color="auto"/>
        <w:left w:val="none" w:sz="0" w:space="0" w:color="auto"/>
        <w:bottom w:val="none" w:sz="0" w:space="0" w:color="auto"/>
        <w:right w:val="none" w:sz="0" w:space="0" w:color="auto"/>
      </w:divBdr>
    </w:div>
    <w:div w:id="298075227">
      <w:bodyDiv w:val="1"/>
      <w:marLeft w:val="0"/>
      <w:marRight w:val="0"/>
      <w:marTop w:val="0"/>
      <w:marBottom w:val="0"/>
      <w:divBdr>
        <w:top w:val="none" w:sz="0" w:space="0" w:color="auto"/>
        <w:left w:val="none" w:sz="0" w:space="0" w:color="auto"/>
        <w:bottom w:val="none" w:sz="0" w:space="0" w:color="auto"/>
        <w:right w:val="none" w:sz="0" w:space="0" w:color="auto"/>
      </w:divBdr>
    </w:div>
    <w:div w:id="509294706">
      <w:bodyDiv w:val="1"/>
      <w:marLeft w:val="0"/>
      <w:marRight w:val="0"/>
      <w:marTop w:val="0"/>
      <w:marBottom w:val="0"/>
      <w:divBdr>
        <w:top w:val="none" w:sz="0" w:space="0" w:color="auto"/>
        <w:left w:val="none" w:sz="0" w:space="0" w:color="auto"/>
        <w:bottom w:val="none" w:sz="0" w:space="0" w:color="auto"/>
        <w:right w:val="none" w:sz="0" w:space="0" w:color="auto"/>
      </w:divBdr>
    </w:div>
    <w:div w:id="956450317">
      <w:bodyDiv w:val="1"/>
      <w:marLeft w:val="0"/>
      <w:marRight w:val="0"/>
      <w:marTop w:val="0"/>
      <w:marBottom w:val="0"/>
      <w:divBdr>
        <w:top w:val="none" w:sz="0" w:space="0" w:color="auto"/>
        <w:left w:val="none" w:sz="0" w:space="0" w:color="auto"/>
        <w:bottom w:val="none" w:sz="0" w:space="0" w:color="auto"/>
        <w:right w:val="none" w:sz="0" w:space="0" w:color="auto"/>
      </w:divBdr>
    </w:div>
    <w:div w:id="1359545811">
      <w:bodyDiv w:val="1"/>
      <w:marLeft w:val="0"/>
      <w:marRight w:val="0"/>
      <w:marTop w:val="0"/>
      <w:marBottom w:val="0"/>
      <w:divBdr>
        <w:top w:val="none" w:sz="0" w:space="0" w:color="auto"/>
        <w:left w:val="none" w:sz="0" w:space="0" w:color="auto"/>
        <w:bottom w:val="none" w:sz="0" w:space="0" w:color="auto"/>
        <w:right w:val="none" w:sz="0" w:space="0" w:color="auto"/>
      </w:divBdr>
    </w:div>
    <w:div w:id="141180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fatf-gafi.org/publications/FATFrecommendations/guidance-beneficial-ownership-legalpersons." TargetMode="External"/><Relationship Id="rId13" Type="http://schemas.openxmlformats.org/officeDocument/2006/relationships/hyperlink" Target="http://www.fatf-gafi.org/publications/documents/%20rba-accounting-profession.html" TargetMode="External"/><Relationship Id="rId3" Type="http://schemas.openxmlformats.org/officeDocument/2006/relationships/hyperlink" Target="https://www.fatf-gafi.org/content/fatf-gafi/en/publications/Fatfrecommendations/Rba-trust-company-service-providers.html" TargetMode="External"/><Relationship Id="rId7" Type="http://schemas.openxmlformats.org/officeDocument/2006/relationships/hyperlink" Target="https://www.fatf-gafi.org/content/fatf-gafi/en/publications/Fatfrecommendations/Rba-trust-company-service-providers.html" TargetMode="External"/><Relationship Id="rId12" Type="http://schemas.openxmlformats.org/officeDocument/2006/relationships/hyperlink" Target="https://www.fatf-gafi.org/en/publications/Fatfrecommendations/Rba-legal-professionals.html" TargetMode="External"/><Relationship Id="rId2" Type="http://schemas.openxmlformats.org/officeDocument/2006/relationships/hyperlink" Target="https://www.oecd-ilibrary.org/docserver/896d79d1-en.pdf?expires=1686767048&amp;id=id&amp;accname=guest&amp;checksum=2ABD1727770293C2E919125EDB346F44" TargetMode="External"/><Relationship Id="rId1" Type="http://schemas.openxmlformats.org/officeDocument/2006/relationships/hyperlink" Target="https://www.oecd.org/tax/transparency/documents/effective-beneficial-ownership-frameworks-toolkit_en.pdf" TargetMode="External"/><Relationship Id="rId6" Type="http://schemas.openxmlformats.org/officeDocument/2006/relationships/hyperlink" Target="https://www.fatf-gafi.org/content/fatf-gafi/en/publications/Fatfrecommendations/Rba-trust-company-service-providers.html" TargetMode="External"/><Relationship Id="rId11" Type="http://schemas.openxmlformats.org/officeDocument/2006/relationships/hyperlink" Target="https://www.fatf-gafi.org/content/fatf-gafi/en/publications/Fatfrecommendations/Rba-trust-company-service-providers.html" TargetMode="External"/><Relationship Id="rId5" Type="http://schemas.openxmlformats.org/officeDocument/2006/relationships/hyperlink" Target="https://www.fatf-gafi.org/content/fatf-gafi/en/publications/Fatfrecommendations/Rba-trust-company-service-providers.html" TargetMode="External"/><Relationship Id="rId10" Type="http://schemas.openxmlformats.org/officeDocument/2006/relationships/hyperlink" Target="https://www.fatf-gafi.org/en/publications/Fatfrecommendations/Rba-legal-professionals.html" TargetMode="External"/><Relationship Id="rId4" Type="http://schemas.openxmlformats.org/officeDocument/2006/relationships/hyperlink" Target="http://www.fatf-gafi.org/publications/documents/%20rba-accounting-profession.html" TargetMode="External"/><Relationship Id="rId9" Type="http://schemas.openxmlformats.org/officeDocument/2006/relationships/hyperlink" Target="https://www.fatf-gafi.org/en/publications/Fatfrecommendations/Rba-legal-professional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2016\Workgroup%20Templates\ONE%20Author%20ODPub.dotx" TargetMode="External"/></Relationships>
</file>

<file path=word/theme/theme1.xml><?xml version="1.0" encoding="utf-8"?>
<a:theme xmlns:a="http://schemas.openxmlformats.org/drawingml/2006/main" name="Office Theme">
  <a:themeElements>
    <a:clrScheme name="OECD-Light Blue (Default)">
      <a:dk1>
        <a:sysClr val="windowText" lastClr="000000"/>
      </a:dk1>
      <a:lt1>
        <a:sysClr val="window" lastClr="FFFFFF"/>
      </a:lt1>
      <a:dk2>
        <a:srgbClr val="3F3F3F"/>
      </a:dk2>
      <a:lt2>
        <a:srgbClr val="EEECE1"/>
      </a:lt2>
      <a:accent1>
        <a:srgbClr val="4E81BD"/>
      </a:accent1>
      <a:accent2>
        <a:srgbClr val="FFFFFF"/>
      </a:accent2>
      <a:accent3>
        <a:srgbClr val="EEECE1"/>
      </a:accent3>
      <a:accent4>
        <a:srgbClr val="448114"/>
      </a:accent4>
      <a:accent5>
        <a:srgbClr val="4E81BD"/>
      </a:accent5>
      <a:accent6>
        <a:srgbClr val="F79646"/>
      </a:accent6>
      <a:hlink>
        <a:srgbClr val="0000FF"/>
      </a:hlink>
      <a:folHlink>
        <a:srgbClr val="800080"/>
      </a:folHlink>
    </a:clrScheme>
    <a:fontScheme name="OECD-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oecd-en.xsl" StyleName="OECD English" Version="20220221"/>
</file>

<file path=customXml/item2.xml>��< ? x m l   v e r s i o n = " 1 . 0 "   e n c o d i n g = " u t f - 1 6 " ? > < r e f - c o t e s   x m l n s : x s d = " h t t p : / / w w w . w 3 . o r g / 2 0 0 1 / X M L S c h e m a "   x m l n s : x s i = " h t t p : / / w w w . w 3 . o r g / 2 0 0 1 / X M L S c h e m a - i n s t a n c e "   V e r s i o n = " 3 . 6 . 1 "   x m l n s = " h t t p : / / w w w . o e c d . o r g / o n e a u t h o r / 2 0 1 6 / c o t e s " >  
     < c o t e   d e c i s i o n T y p e = " I n O l i s " > F A T F / P D G ( 2 0 2 3 ) 1 6 < / c o t e >  
 < / r e f - c o 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4758B8550BEAF4FA4703702D51C8AF0" ma:contentTypeVersion="0" ma:contentTypeDescription="Create a new document." ma:contentTypeScope="" ma:versionID="a1245f4a4fb34d7da92b693778ccf683">
  <xsd:schema xmlns:xsd="http://www.w3.org/2001/XMLSchema" xmlns:xs="http://www.w3.org/2001/XMLSchema" xmlns:p="http://schemas.microsoft.com/office/2006/metadata/properties" targetNamespace="http://schemas.microsoft.com/office/2006/metadata/properties" ma:root="true" ma:fieldsID="124fd2d4348e31d7b7bcc391e9da95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A12AC4-6DE3-4F9C-9012-A2A1E3C737C9}">
  <ds:schemaRefs>
    <ds:schemaRef ds:uri="http://schemas.openxmlformats.org/officeDocument/2006/bibliography"/>
  </ds:schemaRefs>
</ds:datastoreItem>
</file>

<file path=customXml/itemProps2.xml><?xml version="1.0" encoding="utf-8"?>
<ds:datastoreItem xmlns:ds="http://schemas.openxmlformats.org/officeDocument/2006/customXml" ds:itemID="{9BB722A4-5DBB-4758-BCB0-0508F4A5EA63}">
  <ds:schemaRefs>
    <ds:schemaRef ds:uri="http://www.w3.org/2001/XMLSchema"/>
    <ds:schemaRef ds:uri="http://www.oecd.org/oneauthor/2016/cotes"/>
  </ds:schemaRefs>
</ds:datastoreItem>
</file>

<file path=customXml/itemProps3.xml><?xml version="1.0" encoding="utf-8"?>
<ds:datastoreItem xmlns:ds="http://schemas.openxmlformats.org/officeDocument/2006/customXml" ds:itemID="{4060C5BC-D030-47A6-BB7A-CF48AFCA9002}">
  <ds:schemaRefs>
    <ds:schemaRef ds:uri="http://schemas.microsoft.com/office/2006/metadata/properties"/>
    <ds:schemaRef ds:uri="http://schemas.microsoft.com/office/infopath/2007/PartnerControls"/>
    <ds:schemaRef ds:uri="93eb83c8-15e8-4004-b6db-8936866f0594"/>
    <ds:schemaRef ds:uri="c94570b9-8831-43f2-b70c-0cad48a8c3b0"/>
  </ds:schemaRefs>
</ds:datastoreItem>
</file>

<file path=customXml/itemProps4.xml><?xml version="1.0" encoding="utf-8"?>
<ds:datastoreItem xmlns:ds="http://schemas.openxmlformats.org/officeDocument/2006/customXml" ds:itemID="{8E17998A-6EF2-414C-81B5-7DB5640ACE7A}">
  <ds:schemaRefs>
    <ds:schemaRef ds:uri="http://schemas.microsoft.com/sharepoint/v3/contenttype/forms"/>
  </ds:schemaRefs>
</ds:datastoreItem>
</file>

<file path=customXml/itemProps5.xml><?xml version="1.0" encoding="utf-8"?>
<ds:datastoreItem xmlns:ds="http://schemas.openxmlformats.org/officeDocument/2006/customXml" ds:itemID="{B31D5F27-E2E3-44BD-A8DB-F43C391CA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ONE Author ODPub.dotx</Template>
  <TotalTime>3</TotalTime>
  <Pages>38</Pages>
  <Words>17402</Words>
  <Characters>99195</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FATF RISK-BASED GUIDANCE - R. 25</vt:lpstr>
    </vt:vector>
  </TitlesOfParts>
  <Company>OECD</Company>
  <LinksUpToDate>false</LinksUpToDate>
  <CharactersWithSpaces>116365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FATF RISK-BASED GUIDANCE - R. 25</dc:title>
  <dc:subject> </dc:subject>
  <dc:creator>FATF Secretariat</dc:creator>
  <cp:keywords>FATF/PDG(2023)22/REV1</cp:keywords>
  <dc:description/>
  <cp:lastModifiedBy>O'HARE - D'ARMAGNAC Clare, FATF/EXEC</cp:lastModifiedBy>
  <cp:revision>2</cp:revision>
  <dcterms:created xsi:type="dcterms:W3CDTF">2023-10-31T09:08:00Z</dcterms:created>
  <dcterms:modified xsi:type="dcterms:W3CDTF">2023-10-31T09:08:00Z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CDTemplateVersion">
    <vt:lpwstr>3.24</vt:lpwstr>
  </property>
  <property fmtid="{D5CDD505-2E9C-101B-9397-08002B2CF9AE}" pid="3" name="OECDTemplateVersionOriginal">
    <vt:lpwstr>3.24</vt:lpwstr>
  </property>
  <property fmtid="{D5CDD505-2E9C-101B-9397-08002B2CF9AE}" pid="4" name="OECDTemplateName">
    <vt:lpwstr>ONE Author ODPub.dotx</vt:lpwstr>
  </property>
  <property fmtid="{D5CDD505-2E9C-101B-9397-08002B2CF9AE}" pid="5" name="OECDTemplateLocation">
    <vt:lpwstr>W:\Office2016\Workgroup Templates</vt:lpwstr>
  </property>
  <property fmtid="{D5CDD505-2E9C-101B-9397-08002B2CF9AE}" pid="6" name="ContentTypeId">
    <vt:lpwstr>0x01010024758B8550BEAF4FA4703702D51C8AF0</vt:lpwstr>
  </property>
  <property fmtid="{D5CDD505-2E9C-101B-9397-08002B2CF9AE}" pid="7" name="OECDDocumentId">
    <vt:lpwstr>493CC7CEDE39B088BE69D115967F062B9D3F24325D2AB2EE3F9F956BF342FCAF</vt:lpwstr>
  </property>
  <property fmtid="{D5CDD505-2E9C-101B-9397-08002B2CF9AE}" pid="8" name="OecdDocumentCoteLangHash">
    <vt:lpwstr>EF44C2070FD2B22C4302C16DCE9D939E1E3BCA9684A19F0212D8AACE1085078E</vt:lpwstr>
  </property>
  <property fmtid="{D5CDD505-2E9C-101B-9397-08002B2CF9AE}" pid="9" name="OECDDocumentCote">
    <vt:lpwstr>FATF/PDG(2023)22/REV1</vt:lpwstr>
  </property>
  <property fmtid="{D5CDD505-2E9C-101B-9397-08002B2CF9AE}" pid="10" name="OECDDocumentDirectorate">
    <vt:lpwstr/>
  </property>
  <property fmtid="{D5CDD505-2E9C-101B-9397-08002B2CF9AE}" pid="11" name="OECDDocumentCommittee">
    <vt:lpwstr/>
  </property>
  <property fmtid="{D5CDD505-2E9C-101B-9397-08002B2CF9AE}" pid="12" name="OECDDocumentWorkingParty">
    <vt:lpwstr>Policy Development Group</vt:lpwstr>
  </property>
  <property fmtid="{D5CDD505-2E9C-101B-9397-08002B2CF9AE}" pid="13" name="OECDDocumentClassification">
    <vt:lpwstr>For Official Use</vt:lpwstr>
  </property>
  <property fmtid="{D5CDD505-2E9C-101B-9397-08002B2CF9AE}" pid="14" name="OECDDocumentDocumentLanguage">
    <vt:lpwstr>English</vt:lpwstr>
  </property>
  <property fmtid="{D5CDD505-2E9C-101B-9397-08002B2CF9AE}" pid="15" name="OECDDocumentOriginalLanguage">
    <vt:lpwstr>English</vt:lpwstr>
  </property>
  <property fmtid="{D5CDD505-2E9C-101B-9397-08002B2CF9AE}" pid="16" name="OECDDocumentDocumentAbstract">
    <vt:lpwstr>Issue: This paper contains the second draft of the FATF Risk-Based Guidance on Recommendation 25_x000d__x000d_Action: For discussion and approval for public consultation._x000d__x000d_FATF-XXXIII_x000d_The confidentiality of FATF documents, their protection, and their non-disclosure are crucial to the FATF being able to fulfil its mandate. FATF meetings – in line with the organisation’s mandate to combat money-laundering, terrorist financing, and the financing of proliferation of weapons of mass destruction and the consequent nature of its work and discussions – are private and confidential. The documents, discussions and correspondence relating to them, are shared with delegates in strict confidence, for use solely in accordance with the FATF mandate, and should be protected as such and not disclosed. By downloading the documents referenced in this document and participating in the discussions related to them, you agree to respect the confidentiality of the information shared and to take all appropriate measures to ensure the documents, discussions and correspondence are not disclosed to any third parties.</vt:lpwstr>
  </property>
  <property fmtid="{D5CDD505-2E9C-101B-9397-08002B2CF9AE}" pid="17" name="OECDDocumentContactInfo">
    <vt:lpwstr>Inês OLIVEIRA, Tel: +(33-1) 85 55 47 95, Ines.OLIVEIRA@fatf-gafi.org_x000d_Ashish KUMAR, Tel.: +(33-1) 85 55 60 02, Ashish.KUMAR@fatf-gafi.org_x000d_Tom NEYLAN, Tel.: +(33-1) 45 24 98 53, Tom.NEYLAN@fatf-gafi.org</vt:lpwstr>
  </property>
  <property fmtid="{D5CDD505-2E9C-101B-9397-08002B2CF9AE}" pid="18" name="OECDDocumentValidationErrors">
    <vt:lpwstr>0</vt:lpwstr>
  </property>
  <property fmtid="{D5CDD505-2E9C-101B-9397-08002B2CF9AE}" pid="19" name="OECDDocumentValidationWarnings">
    <vt:lpwstr>0</vt:lpwstr>
  </property>
  <property fmtid="{D5CDD505-2E9C-101B-9397-08002B2CF9AE}" pid="20" name="OECDDocumentValidationWordCount">
    <vt:lpwstr>23390</vt:lpwstr>
  </property>
  <property fmtid="{D5CDD505-2E9C-101B-9397-08002B2CF9AE}" pid="21" name="OECDDocumentValidationDate">
    <vt:lpwstr>10/06/2023 12:20:33</vt:lpwstr>
  </property>
  <property fmtid="{D5CDD505-2E9C-101B-9397-08002B2CF9AE}" pid="22" name="OECDEventId">
    <vt:lpwstr/>
  </property>
  <property fmtid="{D5CDD505-2E9C-101B-9397-08002B2CF9AE}" pid="23" name="OECDDocumentSubmissionDate">
    <vt:lpwstr/>
  </property>
  <property fmtid="{D5CDD505-2E9C-101B-9397-08002B2CF9AE}" pid="24" name="OECDDocumentSubmissionAuthor">
    <vt:lpwstr>GOUVEIA Sara</vt:lpwstr>
  </property>
  <property fmtid="{D5CDD505-2E9C-101B-9397-08002B2CF9AE}" pid="25" name="OECDDocumentJobTicket">
    <vt:lpwstr>JT03528259</vt:lpwstr>
  </property>
  <property fmtid="{D5CDD505-2E9C-101B-9397-08002B2CF9AE}" pid="26" name="OECDDocumentJobTicketHash">
    <vt:lpwstr>C0DC28443F22F16A1B084F694D8AF96411AEC3F1C41464986069CCCB940794E2</vt:lpwstr>
  </property>
  <property fmtid="{D5CDD505-2E9C-101B-9397-08002B2CF9AE}" pid="27" name="OECDDocumentHasBeenSubmitted">
    <vt:lpwstr>False</vt:lpwstr>
  </property>
  <property fmtid="{D5CDD505-2E9C-101B-9397-08002B2CF9AE}" pid="28" name="OECDDocumentPreviousJobTicket">
    <vt:lpwstr/>
  </property>
  <property fmtid="{D5CDD505-2E9C-101B-9397-08002B2CF9AE}" pid="29" name="OECDDocumentDateOfReplacedDocument">
    <vt:lpwstr/>
  </property>
</Properties>
</file>